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EE2" w:rsidRPr="00FF2A68" w:rsidRDefault="003E5FF1" w:rsidP="00FF2A68">
      <w:pPr>
        <w:jc w:val="center"/>
        <w:rPr>
          <w:b/>
          <w:sz w:val="28"/>
          <w:u w:val="single"/>
          <w:lang w:val="en-US"/>
        </w:rPr>
      </w:pPr>
      <w:r w:rsidRPr="00FF2A68">
        <w:rPr>
          <w:b/>
          <w:sz w:val="28"/>
          <w:u w:val="single"/>
          <w:lang w:val="en-US"/>
        </w:rPr>
        <w:t>Trinity Church of England School – Covid Risk Assessment –</w:t>
      </w:r>
      <w:r w:rsidR="000A50B7">
        <w:rPr>
          <w:b/>
          <w:sz w:val="28"/>
          <w:u w:val="single"/>
          <w:lang w:val="en-US"/>
        </w:rPr>
        <w:t xml:space="preserve"> </w:t>
      </w:r>
      <w:r w:rsidRPr="00FF2A68">
        <w:rPr>
          <w:b/>
          <w:sz w:val="28"/>
          <w:u w:val="single"/>
          <w:lang w:val="en-US"/>
        </w:rPr>
        <w:t>September 2021-22</w:t>
      </w:r>
    </w:p>
    <w:p w:rsidR="003E5FF1" w:rsidRDefault="003E5FF1">
      <w:pPr>
        <w:rPr>
          <w:lang w:val="en-US"/>
        </w:rPr>
      </w:pPr>
      <w:r>
        <w:rPr>
          <w:lang w:val="en-US"/>
        </w:rPr>
        <w:t>The national guidance for schools has changed throughout the year and our Risk Assessment has adapted appropriately.  This risk assessment has been created ready to start on the 1</w:t>
      </w:r>
      <w:r w:rsidRPr="003E5FF1">
        <w:rPr>
          <w:vertAlign w:val="superscript"/>
          <w:lang w:val="en-US"/>
        </w:rPr>
        <w:t>st</w:t>
      </w:r>
      <w:r>
        <w:rPr>
          <w:lang w:val="en-US"/>
        </w:rPr>
        <w:t xml:space="preserve"> of September 2021 </w:t>
      </w:r>
      <w:r w:rsidR="00827516">
        <w:rPr>
          <w:lang w:val="en-US"/>
        </w:rPr>
        <w:t>after</w:t>
      </w:r>
      <w:r>
        <w:rPr>
          <w:lang w:val="en-US"/>
        </w:rPr>
        <w:t xml:space="preserve"> the country </w:t>
      </w:r>
      <w:r w:rsidR="00827516">
        <w:rPr>
          <w:lang w:val="en-US"/>
        </w:rPr>
        <w:t>has moved</w:t>
      </w:r>
      <w:r>
        <w:rPr>
          <w:lang w:val="en-US"/>
        </w:rPr>
        <w:t xml:space="preserve"> to Step 4 of the government’s roadmap to recovery and the restricti</w:t>
      </w:r>
      <w:r w:rsidR="00827516">
        <w:rPr>
          <w:lang w:val="en-US"/>
        </w:rPr>
        <w:t>ons mid-August on self-isolation has come</w:t>
      </w:r>
      <w:r>
        <w:rPr>
          <w:lang w:val="en-US"/>
        </w:rPr>
        <w:t xml:space="preserve"> into action.  If there are </w:t>
      </w:r>
      <w:r w:rsidR="00827516">
        <w:rPr>
          <w:lang w:val="en-US"/>
        </w:rPr>
        <w:t xml:space="preserve">other </w:t>
      </w:r>
      <w:r>
        <w:rPr>
          <w:lang w:val="en-US"/>
        </w:rPr>
        <w:t>national changes this document will be updated appropriately.</w:t>
      </w:r>
    </w:p>
    <w:p w:rsidR="003E5FF1" w:rsidRDefault="003E5FF1">
      <w:pPr>
        <w:rPr>
          <w:lang w:val="en-US"/>
        </w:rPr>
      </w:pPr>
      <w:r>
        <w:rPr>
          <w:lang w:val="en-US"/>
        </w:rPr>
        <w:t>This risk assessment follows the new phase in the government’s response to the pandemic.  As COVID-19 becomes a virus that we learn to live with, there is now an imperative to reduce the disruption to children and young people’s education – given that the direct clinical risks to children are extremely low, and every adult has been offered a first vaccine and the opportunity for two doses.</w:t>
      </w:r>
      <w:bookmarkStart w:id="0" w:name="_GoBack"/>
      <w:bookmarkEnd w:id="0"/>
    </w:p>
    <w:p w:rsidR="00863370" w:rsidRDefault="00863370">
      <w:pPr>
        <w:rPr>
          <w:lang w:val="en-US"/>
        </w:rPr>
      </w:pPr>
      <w:r>
        <w:rPr>
          <w:lang w:val="en-US"/>
        </w:rPr>
        <w:t>Main changes being introduced for September 2021:</w:t>
      </w:r>
    </w:p>
    <w:p w:rsidR="003E5FF1" w:rsidRPr="00863370" w:rsidRDefault="00863370" w:rsidP="00863370">
      <w:pPr>
        <w:pStyle w:val="ListParagraph"/>
        <w:numPr>
          <w:ilvl w:val="0"/>
          <w:numId w:val="1"/>
        </w:numPr>
        <w:rPr>
          <w:lang w:val="en-US"/>
        </w:rPr>
      </w:pPr>
      <w:r>
        <w:rPr>
          <w:lang w:val="en-US"/>
        </w:rPr>
        <w:t>‘Bubbles</w:t>
      </w:r>
      <w:r w:rsidR="00DB1A93">
        <w:rPr>
          <w:lang w:val="en-US"/>
        </w:rPr>
        <w:t>’</w:t>
      </w:r>
      <w:r>
        <w:rPr>
          <w:lang w:val="en-US"/>
        </w:rPr>
        <w:t xml:space="preserve"> are no longer required and pupils are allowed to mix between year groups across the school.</w:t>
      </w:r>
      <w:r w:rsidR="0034608F">
        <w:rPr>
          <w:lang w:val="en-US"/>
        </w:rPr>
        <w:t xml:space="preserve">  At Trinity we will until at least Christmas avoid having worships larger than three year groups in one space so that we can still ensure the room is well ventilated and there is space between people. Our lunch arrangements will still keep year group sittings where possible and at the secondary the social space for year 7 and 8 will stay in Manor Park Gardens at break and lunch to create more space around the building.</w:t>
      </w:r>
    </w:p>
    <w:p w:rsidR="00863370" w:rsidRPr="00863370" w:rsidRDefault="00863370" w:rsidP="00863370">
      <w:pPr>
        <w:pStyle w:val="ListParagraph"/>
        <w:numPr>
          <w:ilvl w:val="0"/>
          <w:numId w:val="1"/>
        </w:numPr>
        <w:rPr>
          <w:lang w:val="en-US"/>
        </w:rPr>
      </w:pPr>
      <w:r w:rsidRPr="00863370">
        <w:rPr>
          <w:lang w:val="en-US"/>
        </w:rPr>
        <w:t>Schools are no longer required to track and trace.  Those testing positive will be contacted by track and trace who will follow this up with appropriate action.</w:t>
      </w:r>
      <w:r w:rsidR="0034608F">
        <w:rPr>
          <w:lang w:val="en-US"/>
        </w:rPr>
        <w:t xml:space="preserve">  Those showing signs of COVID-19 will be taken out of class, tested if we have consent, isolated and if appropriate sent home.</w:t>
      </w:r>
    </w:p>
    <w:p w:rsidR="00863370" w:rsidRPr="00863370" w:rsidRDefault="00863370" w:rsidP="00863370">
      <w:pPr>
        <w:pStyle w:val="ListParagraph"/>
        <w:numPr>
          <w:ilvl w:val="0"/>
          <w:numId w:val="1"/>
        </w:numPr>
        <w:rPr>
          <w:lang w:val="en-US"/>
        </w:rPr>
      </w:pPr>
      <w:r w:rsidRPr="00863370">
        <w:rPr>
          <w:lang w:val="en-US"/>
        </w:rPr>
        <w:t>From 16</w:t>
      </w:r>
      <w:r w:rsidRPr="00863370">
        <w:rPr>
          <w:vertAlign w:val="superscript"/>
          <w:lang w:val="en-US"/>
        </w:rPr>
        <w:t>th</w:t>
      </w:r>
      <w:r w:rsidRPr="00863370">
        <w:rPr>
          <w:lang w:val="en-US"/>
        </w:rPr>
        <w:t xml:space="preserve"> August, children under the age of 18 years old will no longer be required to self-isolate if they are contacted by NHS Test and Trace </w:t>
      </w:r>
      <w:r w:rsidR="00C76A8A">
        <w:rPr>
          <w:lang w:val="en-US"/>
        </w:rPr>
        <w:t>as close contact of positive COV</w:t>
      </w:r>
      <w:r w:rsidRPr="00863370">
        <w:rPr>
          <w:lang w:val="en-US"/>
        </w:rPr>
        <w:t>ID-19 case.  This is the same as those who have had two doses of the vaccine.</w:t>
      </w:r>
    </w:p>
    <w:p w:rsidR="00863370" w:rsidRDefault="00863370" w:rsidP="00863370">
      <w:pPr>
        <w:pStyle w:val="ListParagraph"/>
        <w:numPr>
          <w:ilvl w:val="0"/>
          <w:numId w:val="1"/>
        </w:numPr>
        <w:rPr>
          <w:lang w:val="en-US"/>
        </w:rPr>
      </w:pPr>
      <w:r w:rsidRPr="00863370">
        <w:rPr>
          <w:lang w:val="en-US"/>
        </w:rPr>
        <w:t>Schools will continue to have a role in working with health protection teams in the case of a local outbreak.  If there is an outbreak in a setting or if central government offers the area an enhanced response package</w:t>
      </w:r>
      <w:r w:rsidR="00C56BB2">
        <w:rPr>
          <w:lang w:val="en-US"/>
        </w:rPr>
        <w:t xml:space="preserve"> (</w:t>
      </w:r>
      <w:proofErr w:type="spellStart"/>
      <w:r w:rsidR="00C56BB2">
        <w:rPr>
          <w:lang w:val="en-US"/>
        </w:rPr>
        <w:t>eg</w:t>
      </w:r>
      <w:proofErr w:type="spellEnd"/>
      <w:r w:rsidR="00C56BB2">
        <w:rPr>
          <w:lang w:val="en-US"/>
        </w:rPr>
        <w:t xml:space="preserve"> surge testing or vaccinations)</w:t>
      </w:r>
      <w:r w:rsidRPr="00863370">
        <w:rPr>
          <w:lang w:val="en-US"/>
        </w:rPr>
        <w:t>, a director of public health might advise a setting to temporarily reintroduce some control measures.  Please see our outbreak management plan in appendix A.</w:t>
      </w:r>
    </w:p>
    <w:p w:rsidR="00863370" w:rsidRDefault="00863370" w:rsidP="004C4F9B">
      <w:pPr>
        <w:pStyle w:val="ListParagraph"/>
        <w:numPr>
          <w:ilvl w:val="0"/>
          <w:numId w:val="1"/>
        </w:numPr>
        <w:rPr>
          <w:lang w:val="en-US"/>
        </w:rPr>
      </w:pPr>
      <w:r>
        <w:rPr>
          <w:lang w:val="en-US"/>
        </w:rPr>
        <w:t>Face coverings will no longer be advised for pupils, staff and visitors either in classrooms or in the communal areas.</w:t>
      </w:r>
      <w:r w:rsidR="007A687E">
        <w:rPr>
          <w:lang w:val="en-US"/>
        </w:rPr>
        <w:t xml:space="preserve">  They are also no longer recommended to be worn on dedicated transport to school and are no longer legal</w:t>
      </w:r>
      <w:r w:rsidR="004C4F9B">
        <w:rPr>
          <w:lang w:val="en-US"/>
        </w:rPr>
        <w:t>ly required on public transport.</w:t>
      </w:r>
      <w:r w:rsidR="00FA68FD">
        <w:rPr>
          <w:lang w:val="en-US"/>
        </w:rPr>
        <w:t xml:space="preserve">  </w:t>
      </w:r>
      <w:r w:rsidR="00AA2943">
        <w:rPr>
          <w:lang w:val="en-US"/>
        </w:rPr>
        <w:t xml:space="preserve">Pupils will be encouraged to support shop and TFL requests to continue to wear masks where recommended.  </w:t>
      </w:r>
      <w:r w:rsidR="00FA68FD">
        <w:rPr>
          <w:lang w:val="en-US"/>
        </w:rPr>
        <w:t xml:space="preserve">Trinity will move to masks being an option for staff and pupils </w:t>
      </w:r>
      <w:r w:rsidR="008A2348">
        <w:rPr>
          <w:lang w:val="en-US"/>
        </w:rPr>
        <w:t>in the secondary phase within</w:t>
      </w:r>
      <w:r w:rsidR="00FA68FD">
        <w:rPr>
          <w:lang w:val="en-US"/>
        </w:rPr>
        <w:t xml:space="preserve"> corridors and communal areas.  Pupils will not be wearing masks in the classroom unless we are directed to follow our outbreak management plan.  This will enable better communication and remove any distractions.</w:t>
      </w:r>
    </w:p>
    <w:p w:rsidR="003F0F8E" w:rsidRDefault="003F0F8E" w:rsidP="004C4F9B">
      <w:pPr>
        <w:pStyle w:val="ListParagraph"/>
        <w:numPr>
          <w:ilvl w:val="0"/>
          <w:numId w:val="1"/>
        </w:numPr>
        <w:rPr>
          <w:lang w:val="en-US"/>
        </w:rPr>
      </w:pPr>
      <w:r>
        <w:rPr>
          <w:lang w:val="en-US"/>
        </w:rPr>
        <w:t xml:space="preserve">Testing remains important in reducing the risk of transmission of infection within schools.  Pupils will be tested twice, with consent, on their return from the summer in the secondary phase at Trinity.  Staff will continue to be given home testing kits for at least until the end of September.  Pupils will then be able to take Lateral Flow tests home </w:t>
      </w:r>
      <w:r w:rsidR="00C1549F">
        <w:rPr>
          <w:lang w:val="en-US"/>
        </w:rPr>
        <w:t xml:space="preserve">whilst we are still given stock </w:t>
      </w:r>
      <w:r>
        <w:rPr>
          <w:lang w:val="en-US"/>
        </w:rPr>
        <w:t>and these tests are also widely available for families to use.  If the risk increases our outbreak management plan does step up the use of testing in school once again.</w:t>
      </w:r>
    </w:p>
    <w:p w:rsidR="00FF2A68" w:rsidRDefault="00FF2A68" w:rsidP="004C4F9B">
      <w:pPr>
        <w:pStyle w:val="ListParagraph"/>
        <w:numPr>
          <w:ilvl w:val="0"/>
          <w:numId w:val="1"/>
        </w:numPr>
        <w:rPr>
          <w:lang w:val="en-US"/>
        </w:rPr>
      </w:pPr>
      <w:r>
        <w:rPr>
          <w:lang w:val="en-US"/>
        </w:rPr>
        <w:t>Clinically Extremely Vulnerable (CEV) children and young people should attend their school unless they are a very small number of children under specialist care who have a specific letter telling them not to attend.</w:t>
      </w:r>
      <w:r w:rsidR="00EC6974">
        <w:rPr>
          <w:lang w:val="en-US"/>
        </w:rPr>
        <w:t xml:space="preserve">  CEV staff are no longer advised to shield but may wish to take extra precautions to protect themselves.</w:t>
      </w:r>
      <w:r w:rsidR="0034608F">
        <w:rPr>
          <w:lang w:val="en-US"/>
        </w:rPr>
        <w:t xml:space="preserve">  Risk assessments will be reviewed for all staff that are CEV as well as any other member of staff who feels they would like a risk assessment.</w:t>
      </w:r>
    </w:p>
    <w:p w:rsidR="00AA2943" w:rsidRDefault="00AA2943" w:rsidP="004C4F9B">
      <w:pPr>
        <w:pStyle w:val="ListParagraph"/>
        <w:numPr>
          <w:ilvl w:val="0"/>
          <w:numId w:val="1"/>
        </w:numPr>
        <w:rPr>
          <w:lang w:val="en-US"/>
        </w:rPr>
      </w:pPr>
      <w:r>
        <w:rPr>
          <w:lang w:val="en-US"/>
        </w:rPr>
        <w:t>Following the governments recommendations staff are encouraged to take up the doub</w:t>
      </w:r>
      <w:r w:rsidR="004B6F4C">
        <w:rPr>
          <w:lang w:val="en-US"/>
        </w:rPr>
        <w:t>le vaccine and inform Uloma</w:t>
      </w:r>
      <w:r>
        <w:rPr>
          <w:lang w:val="en-US"/>
        </w:rPr>
        <w:t xml:space="preserve"> if you have been double vaccinated so that we can apply the new rules of self-isolation of close contacts if required.</w:t>
      </w:r>
    </w:p>
    <w:p w:rsidR="00BB4E49" w:rsidRDefault="00BB4E49" w:rsidP="004C4F9B">
      <w:pPr>
        <w:rPr>
          <w:lang w:val="en-US"/>
        </w:rPr>
      </w:pPr>
    </w:p>
    <w:p w:rsidR="004C4F9B" w:rsidRDefault="004C4F9B" w:rsidP="004C4F9B">
      <w:pPr>
        <w:rPr>
          <w:lang w:val="en-US"/>
        </w:rPr>
      </w:pPr>
      <w:r>
        <w:rPr>
          <w:lang w:val="en-US"/>
        </w:rPr>
        <w:lastRenderedPageBreak/>
        <w:t xml:space="preserve">The DFE have set up systems of control </w:t>
      </w:r>
      <w:r w:rsidR="003F0F8E">
        <w:rPr>
          <w:lang w:val="en-US"/>
        </w:rPr>
        <w:t>to ensure</w:t>
      </w:r>
      <w:r>
        <w:rPr>
          <w:lang w:val="en-US"/>
        </w:rPr>
        <w:t xml:space="preserve"> schools have clear measures in place to minimize the risk of transmission within the school.  These are:</w:t>
      </w:r>
    </w:p>
    <w:tbl>
      <w:tblPr>
        <w:tblStyle w:val="TableGrid"/>
        <w:tblW w:w="0" w:type="auto"/>
        <w:tblLook w:val="04A0" w:firstRow="1" w:lastRow="0" w:firstColumn="1" w:lastColumn="0" w:noHBand="0" w:noVBand="1"/>
      </w:tblPr>
      <w:tblGrid>
        <w:gridCol w:w="2614"/>
        <w:gridCol w:w="2614"/>
        <w:gridCol w:w="2614"/>
        <w:gridCol w:w="2614"/>
      </w:tblGrid>
      <w:tr w:rsidR="004C4F9B" w:rsidTr="004C4F9B">
        <w:tc>
          <w:tcPr>
            <w:tcW w:w="2614" w:type="dxa"/>
            <w:shd w:val="clear" w:color="auto" w:fill="FFFF00"/>
            <w:vAlign w:val="center"/>
          </w:tcPr>
          <w:p w:rsidR="004C4F9B" w:rsidRPr="004C4F9B" w:rsidRDefault="004C4F9B" w:rsidP="004C4F9B">
            <w:pPr>
              <w:jc w:val="center"/>
              <w:rPr>
                <w:b/>
                <w:lang w:val="en-US"/>
              </w:rPr>
            </w:pPr>
            <w:r w:rsidRPr="004C4F9B">
              <w:rPr>
                <w:b/>
                <w:lang w:val="en-US"/>
              </w:rPr>
              <w:t>Ensure good hygiene for everyone</w:t>
            </w:r>
          </w:p>
        </w:tc>
        <w:tc>
          <w:tcPr>
            <w:tcW w:w="2614" w:type="dxa"/>
            <w:shd w:val="clear" w:color="auto" w:fill="FFFF00"/>
            <w:vAlign w:val="center"/>
          </w:tcPr>
          <w:p w:rsidR="004C4F9B" w:rsidRPr="004C4F9B" w:rsidRDefault="004C4F9B" w:rsidP="004C4F9B">
            <w:pPr>
              <w:jc w:val="center"/>
              <w:rPr>
                <w:b/>
                <w:lang w:val="en-US"/>
              </w:rPr>
            </w:pPr>
            <w:r w:rsidRPr="004C4F9B">
              <w:rPr>
                <w:b/>
                <w:lang w:val="en-US"/>
              </w:rPr>
              <w:t>Maintain appropriate cleaning regimes</w:t>
            </w:r>
          </w:p>
        </w:tc>
        <w:tc>
          <w:tcPr>
            <w:tcW w:w="2614" w:type="dxa"/>
            <w:shd w:val="clear" w:color="auto" w:fill="FFFF00"/>
            <w:vAlign w:val="center"/>
          </w:tcPr>
          <w:p w:rsidR="004C4F9B" w:rsidRPr="004C4F9B" w:rsidRDefault="004C4F9B" w:rsidP="004C4F9B">
            <w:pPr>
              <w:jc w:val="center"/>
              <w:rPr>
                <w:b/>
                <w:lang w:val="en-US"/>
              </w:rPr>
            </w:pPr>
            <w:r w:rsidRPr="004C4F9B">
              <w:rPr>
                <w:b/>
                <w:lang w:val="en-US"/>
              </w:rPr>
              <w:t>Keep occupied spaces well ventilated</w:t>
            </w:r>
          </w:p>
        </w:tc>
        <w:tc>
          <w:tcPr>
            <w:tcW w:w="2614" w:type="dxa"/>
            <w:shd w:val="clear" w:color="auto" w:fill="FFFF00"/>
            <w:vAlign w:val="center"/>
          </w:tcPr>
          <w:p w:rsidR="004C4F9B" w:rsidRPr="004C4F9B" w:rsidRDefault="004C4F9B" w:rsidP="004C4F9B">
            <w:pPr>
              <w:jc w:val="center"/>
              <w:rPr>
                <w:b/>
                <w:lang w:val="en-US"/>
              </w:rPr>
            </w:pPr>
            <w:r w:rsidRPr="00FF2A68">
              <w:rPr>
                <w:b/>
                <w:sz w:val="20"/>
                <w:lang w:val="en-US"/>
              </w:rPr>
              <w:t>Follow public health advice on testing, self-isolation and managing confirmed cases of COVID-19</w:t>
            </w:r>
          </w:p>
        </w:tc>
      </w:tr>
    </w:tbl>
    <w:p w:rsidR="003A2F7E" w:rsidRDefault="003A2F7E">
      <w:pPr>
        <w:rPr>
          <w:sz w:val="10"/>
        </w:rPr>
      </w:pPr>
    </w:p>
    <w:p w:rsidR="0034608F" w:rsidRPr="0034608F" w:rsidRDefault="0034608F">
      <w:r w:rsidRPr="0034608F">
        <w:t xml:space="preserve">Please see the sections below that address each of these </w:t>
      </w:r>
      <w:r w:rsidR="00AA2943">
        <w:t>systems of control</w:t>
      </w:r>
      <w:r w:rsidRPr="0034608F">
        <w:t xml:space="preserve"> for Trinity:</w:t>
      </w:r>
    </w:p>
    <w:tbl>
      <w:tblPr>
        <w:tblStyle w:val="TableGrid"/>
        <w:tblW w:w="10485" w:type="dxa"/>
        <w:tblLook w:val="04A0" w:firstRow="1" w:lastRow="0" w:firstColumn="1" w:lastColumn="0" w:noHBand="0" w:noVBand="1"/>
      </w:tblPr>
      <w:tblGrid>
        <w:gridCol w:w="10485"/>
      </w:tblGrid>
      <w:tr w:rsidR="004C4F9B" w:rsidTr="004C4F9B">
        <w:tc>
          <w:tcPr>
            <w:tcW w:w="10485" w:type="dxa"/>
            <w:shd w:val="clear" w:color="auto" w:fill="FFFF00"/>
          </w:tcPr>
          <w:p w:rsidR="004C4F9B" w:rsidRDefault="004C4F9B" w:rsidP="004C4F9B">
            <w:pPr>
              <w:rPr>
                <w:lang w:val="en-US"/>
              </w:rPr>
            </w:pPr>
            <w:r w:rsidRPr="004C4F9B">
              <w:rPr>
                <w:b/>
                <w:lang w:val="en-US"/>
              </w:rPr>
              <w:t>Ensure good hygiene for everyone</w:t>
            </w:r>
          </w:p>
        </w:tc>
      </w:tr>
      <w:tr w:rsidR="004C4F9B" w:rsidTr="004C4F9B">
        <w:tc>
          <w:tcPr>
            <w:tcW w:w="10485" w:type="dxa"/>
            <w:shd w:val="clear" w:color="auto" w:fill="FFC000"/>
          </w:tcPr>
          <w:p w:rsidR="004C4F9B" w:rsidRDefault="004C4F9B" w:rsidP="004C4F9B">
            <w:pPr>
              <w:rPr>
                <w:lang w:val="en-US"/>
              </w:rPr>
            </w:pPr>
            <w:r>
              <w:rPr>
                <w:lang w:val="en-US"/>
              </w:rPr>
              <w:t>Hand Hygiene</w:t>
            </w:r>
          </w:p>
        </w:tc>
      </w:tr>
      <w:tr w:rsidR="004C4F9B" w:rsidTr="004C4F9B">
        <w:tc>
          <w:tcPr>
            <w:tcW w:w="10485" w:type="dxa"/>
            <w:shd w:val="clear" w:color="auto" w:fill="FFFFFF" w:themeFill="background1"/>
          </w:tcPr>
          <w:p w:rsidR="00857FBF" w:rsidRDefault="00857FBF" w:rsidP="00857FBF">
            <w:pPr>
              <w:jc w:val="center"/>
              <w:rPr>
                <w:lang w:val="en-US"/>
              </w:rPr>
            </w:pPr>
            <w:r>
              <w:rPr>
                <w:noProof/>
                <w:lang w:eastAsia="en-GB"/>
              </w:rPr>
              <w:drawing>
                <wp:inline distT="0" distB="0" distL="0" distR="0" wp14:anchorId="3761BD4B" wp14:editId="3BA7C87A">
                  <wp:extent cx="2250673" cy="2034937"/>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38165" cy="2114042"/>
                          </a:xfrm>
                          <a:prstGeom prst="rect">
                            <a:avLst/>
                          </a:prstGeom>
                        </pic:spPr>
                      </pic:pic>
                    </a:graphicData>
                  </a:graphic>
                </wp:inline>
              </w:drawing>
            </w:r>
          </w:p>
        </w:tc>
      </w:tr>
      <w:tr w:rsidR="004C4F9B" w:rsidTr="00B65D21">
        <w:trPr>
          <w:trHeight w:val="2872"/>
        </w:trPr>
        <w:tc>
          <w:tcPr>
            <w:tcW w:w="10485" w:type="dxa"/>
          </w:tcPr>
          <w:p w:rsidR="004C4F9B" w:rsidRDefault="004C4F9B" w:rsidP="004C4F9B">
            <w:pPr>
              <w:rPr>
                <w:lang w:val="en-US"/>
              </w:rPr>
            </w:pPr>
            <w:r>
              <w:rPr>
                <w:lang w:val="en-US"/>
              </w:rPr>
              <w:t>Frequent and thorough hand cleaning should be regular practice.</w:t>
            </w:r>
          </w:p>
          <w:p w:rsidR="004C4F9B" w:rsidRPr="004C4F9B" w:rsidRDefault="004C4F9B" w:rsidP="004C4F9B">
            <w:pPr>
              <w:pStyle w:val="ListParagraph"/>
              <w:numPr>
                <w:ilvl w:val="0"/>
                <w:numId w:val="2"/>
              </w:numPr>
              <w:rPr>
                <w:lang w:val="en-US"/>
              </w:rPr>
            </w:pPr>
            <w:r w:rsidRPr="004C4F9B">
              <w:rPr>
                <w:lang w:val="en-US"/>
              </w:rPr>
              <w:t xml:space="preserve">Trinity will continue to monitor pupils arrival to school to ensure they hand </w:t>
            </w:r>
            <w:proofErr w:type="spellStart"/>
            <w:r w:rsidRPr="004C4F9B">
              <w:rPr>
                <w:lang w:val="en-US"/>
              </w:rPr>
              <w:t>sanitise</w:t>
            </w:r>
            <w:proofErr w:type="spellEnd"/>
            <w:r w:rsidRPr="004C4F9B">
              <w:rPr>
                <w:lang w:val="en-US"/>
              </w:rPr>
              <w:t xml:space="preserve"> as they enter the building.</w:t>
            </w:r>
          </w:p>
          <w:p w:rsidR="004C4F9B" w:rsidRPr="004C4F9B" w:rsidRDefault="004C4F9B" w:rsidP="004C4F9B">
            <w:pPr>
              <w:pStyle w:val="ListParagraph"/>
              <w:numPr>
                <w:ilvl w:val="0"/>
                <w:numId w:val="2"/>
              </w:numPr>
              <w:rPr>
                <w:lang w:val="en-US"/>
              </w:rPr>
            </w:pPr>
            <w:r w:rsidRPr="004C4F9B">
              <w:rPr>
                <w:lang w:val="en-US"/>
              </w:rPr>
              <w:t xml:space="preserve">Hand </w:t>
            </w:r>
            <w:proofErr w:type="spellStart"/>
            <w:r w:rsidRPr="004C4F9B">
              <w:rPr>
                <w:lang w:val="en-US"/>
              </w:rPr>
              <w:t>sanitisers</w:t>
            </w:r>
            <w:proofErr w:type="spellEnd"/>
            <w:r w:rsidRPr="004C4F9B">
              <w:rPr>
                <w:lang w:val="en-US"/>
              </w:rPr>
              <w:t xml:space="preserve"> are in</w:t>
            </w:r>
            <w:r w:rsidR="00801077">
              <w:rPr>
                <w:lang w:val="en-US"/>
              </w:rPr>
              <w:t>/outside</w:t>
            </w:r>
            <w:r w:rsidRPr="004C4F9B">
              <w:rPr>
                <w:lang w:val="en-US"/>
              </w:rPr>
              <w:t xml:space="preserve"> every classroom – and these will continue to be monitored.  Staff must make sure pupils use this every time they leave and re-enter the classroom.</w:t>
            </w:r>
          </w:p>
          <w:p w:rsidR="004C4F9B" w:rsidRDefault="004C4F9B" w:rsidP="004C4F9B">
            <w:pPr>
              <w:pStyle w:val="ListParagraph"/>
              <w:numPr>
                <w:ilvl w:val="0"/>
                <w:numId w:val="2"/>
              </w:numPr>
              <w:rPr>
                <w:lang w:val="en-US"/>
              </w:rPr>
            </w:pPr>
            <w:r w:rsidRPr="004C4F9B">
              <w:rPr>
                <w:lang w:val="en-US"/>
              </w:rPr>
              <w:t>Pupils must also wash and clean their hands after they have been to the toilet and before they eat.</w:t>
            </w:r>
          </w:p>
          <w:p w:rsidR="00801077" w:rsidRDefault="00801077" w:rsidP="004C4F9B">
            <w:pPr>
              <w:pStyle w:val="ListParagraph"/>
              <w:numPr>
                <w:ilvl w:val="0"/>
                <w:numId w:val="2"/>
              </w:numPr>
              <w:rPr>
                <w:lang w:val="en-US"/>
              </w:rPr>
            </w:pPr>
            <w:r>
              <w:rPr>
                <w:lang w:val="en-US"/>
              </w:rPr>
              <w:t>All staff must also clean their hands on entry to the building and entry to any classroom / office.</w:t>
            </w:r>
          </w:p>
          <w:p w:rsidR="00801077" w:rsidRPr="004C4F9B" w:rsidRDefault="00801077" w:rsidP="00801077">
            <w:pPr>
              <w:pStyle w:val="ListParagraph"/>
              <w:numPr>
                <w:ilvl w:val="0"/>
                <w:numId w:val="2"/>
              </w:numPr>
              <w:rPr>
                <w:lang w:val="en-US"/>
              </w:rPr>
            </w:pPr>
            <w:r>
              <w:rPr>
                <w:lang w:val="en-US"/>
              </w:rPr>
              <w:t xml:space="preserve">The Main School Office will make sure all visitors clean their hands before they sign in at the Main Reception in each building.  They will be told to use the </w:t>
            </w:r>
            <w:proofErr w:type="spellStart"/>
            <w:r>
              <w:rPr>
                <w:lang w:val="en-US"/>
              </w:rPr>
              <w:t>sanitisors</w:t>
            </w:r>
            <w:proofErr w:type="spellEnd"/>
            <w:r>
              <w:rPr>
                <w:lang w:val="en-US"/>
              </w:rPr>
              <w:t xml:space="preserve"> at every room they enter as well.</w:t>
            </w:r>
          </w:p>
        </w:tc>
      </w:tr>
      <w:tr w:rsidR="004C4F9B" w:rsidTr="004C4F9B">
        <w:tc>
          <w:tcPr>
            <w:tcW w:w="10485" w:type="dxa"/>
            <w:shd w:val="clear" w:color="auto" w:fill="FFC000"/>
          </w:tcPr>
          <w:p w:rsidR="004C4F9B" w:rsidRDefault="004C4F9B" w:rsidP="004C4F9B">
            <w:pPr>
              <w:rPr>
                <w:lang w:val="en-US"/>
              </w:rPr>
            </w:pPr>
            <w:r>
              <w:rPr>
                <w:lang w:val="en-US"/>
              </w:rPr>
              <w:t>Respiratory hygiene</w:t>
            </w:r>
          </w:p>
        </w:tc>
      </w:tr>
      <w:tr w:rsidR="004C4F9B" w:rsidTr="004C4F9B">
        <w:tc>
          <w:tcPr>
            <w:tcW w:w="10485" w:type="dxa"/>
          </w:tcPr>
          <w:p w:rsidR="00857FBF" w:rsidRDefault="00857FBF" w:rsidP="00857FBF">
            <w:pPr>
              <w:jc w:val="center"/>
              <w:rPr>
                <w:lang w:val="en-US"/>
              </w:rPr>
            </w:pPr>
            <w:r>
              <w:rPr>
                <w:noProof/>
                <w:lang w:eastAsia="en-GB"/>
              </w:rPr>
              <w:drawing>
                <wp:inline distT="0" distB="0" distL="0" distR="0" wp14:anchorId="29465D09" wp14:editId="0B6BD9F2">
                  <wp:extent cx="4691800" cy="2029651"/>
                  <wp:effectExtent l="0" t="0" r="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0774" cy="2089771"/>
                          </a:xfrm>
                          <a:prstGeom prst="rect">
                            <a:avLst/>
                          </a:prstGeom>
                        </pic:spPr>
                      </pic:pic>
                    </a:graphicData>
                  </a:graphic>
                </wp:inline>
              </w:drawing>
            </w:r>
          </w:p>
        </w:tc>
      </w:tr>
      <w:tr w:rsidR="004C4F9B" w:rsidTr="004C4F9B">
        <w:tc>
          <w:tcPr>
            <w:tcW w:w="10485" w:type="dxa"/>
          </w:tcPr>
          <w:p w:rsidR="004C4F9B" w:rsidRDefault="004C4F9B" w:rsidP="004C4F9B">
            <w:pPr>
              <w:rPr>
                <w:lang w:val="en-US"/>
              </w:rPr>
            </w:pPr>
            <w:r>
              <w:rPr>
                <w:lang w:val="en-US"/>
              </w:rPr>
              <w:t xml:space="preserve">The ‘Catch it, bin it, kill it’ approach will continue at Trinity.  </w:t>
            </w:r>
          </w:p>
          <w:p w:rsidR="004C4F9B" w:rsidRPr="004C4F9B" w:rsidRDefault="004C4F9B" w:rsidP="004C4F9B">
            <w:pPr>
              <w:pStyle w:val="ListParagraph"/>
              <w:numPr>
                <w:ilvl w:val="0"/>
                <w:numId w:val="3"/>
              </w:numPr>
              <w:rPr>
                <w:lang w:val="en-US"/>
              </w:rPr>
            </w:pPr>
            <w:r w:rsidRPr="004C4F9B">
              <w:rPr>
                <w:lang w:val="en-US"/>
              </w:rPr>
              <w:t>Tissues will continue to be supplied to each room.  Pupils need to use these and use the bins with lids on to put used tissues within.</w:t>
            </w:r>
          </w:p>
          <w:p w:rsidR="004C4F9B" w:rsidRDefault="004C4F9B" w:rsidP="00C56BB2">
            <w:pPr>
              <w:pStyle w:val="ListParagraph"/>
              <w:numPr>
                <w:ilvl w:val="0"/>
                <w:numId w:val="3"/>
              </w:numPr>
              <w:rPr>
                <w:lang w:val="en-US"/>
              </w:rPr>
            </w:pPr>
            <w:r w:rsidRPr="004C4F9B">
              <w:rPr>
                <w:lang w:val="en-US"/>
              </w:rPr>
              <w:t xml:space="preserve">Antibacterial wipes will also still be provided in each classroom so pupils can use this to wipe down any </w:t>
            </w:r>
            <w:r w:rsidR="00C56BB2">
              <w:rPr>
                <w:lang w:val="en-US"/>
              </w:rPr>
              <w:t>surfaces</w:t>
            </w:r>
            <w:r w:rsidRPr="004C4F9B">
              <w:rPr>
                <w:lang w:val="en-US"/>
              </w:rPr>
              <w:t xml:space="preserve"> if they require them.</w:t>
            </w:r>
            <w:r w:rsidR="00801077">
              <w:rPr>
                <w:lang w:val="en-US"/>
              </w:rPr>
              <w:t xml:space="preserve">  The teacher can also use this as well to clear their space each time they enter a classroom.</w:t>
            </w:r>
          </w:p>
          <w:p w:rsidR="00801077" w:rsidRPr="004C4F9B" w:rsidRDefault="00801077" w:rsidP="00801077">
            <w:pPr>
              <w:pStyle w:val="ListParagraph"/>
              <w:numPr>
                <w:ilvl w:val="0"/>
                <w:numId w:val="3"/>
              </w:numPr>
              <w:rPr>
                <w:lang w:val="en-US"/>
              </w:rPr>
            </w:pPr>
            <w:r>
              <w:rPr>
                <w:lang w:val="en-US"/>
              </w:rPr>
              <w:t>Staff are responsible for making sure their classrooms have tissues and sanitizing wipes each day.  Subject offices have spare resources and if this stock is low the Business Manager must be informed straight away.</w:t>
            </w:r>
          </w:p>
        </w:tc>
      </w:tr>
    </w:tbl>
    <w:p w:rsidR="004C4F9B" w:rsidRPr="003A2F7E" w:rsidRDefault="004C4F9B">
      <w:pPr>
        <w:rPr>
          <w:sz w:val="4"/>
        </w:rPr>
      </w:pPr>
    </w:p>
    <w:p w:rsidR="00801077" w:rsidRDefault="00801077"/>
    <w:tbl>
      <w:tblPr>
        <w:tblStyle w:val="TableGrid"/>
        <w:tblW w:w="10485" w:type="dxa"/>
        <w:tblLook w:val="04A0" w:firstRow="1" w:lastRow="0" w:firstColumn="1" w:lastColumn="0" w:noHBand="0" w:noVBand="1"/>
      </w:tblPr>
      <w:tblGrid>
        <w:gridCol w:w="10485"/>
      </w:tblGrid>
      <w:tr w:rsidR="004C4F9B" w:rsidTr="004C4F9B">
        <w:tc>
          <w:tcPr>
            <w:tcW w:w="10485" w:type="dxa"/>
            <w:shd w:val="clear" w:color="auto" w:fill="FFFF00"/>
          </w:tcPr>
          <w:p w:rsidR="004C4F9B" w:rsidRDefault="004C4F9B" w:rsidP="004C4F9B">
            <w:pPr>
              <w:rPr>
                <w:lang w:val="en-US"/>
              </w:rPr>
            </w:pPr>
            <w:r w:rsidRPr="004C4F9B">
              <w:rPr>
                <w:b/>
                <w:lang w:val="en-US"/>
              </w:rPr>
              <w:t>Maintain appropriate cleaning regimes</w:t>
            </w:r>
          </w:p>
        </w:tc>
      </w:tr>
      <w:tr w:rsidR="00857FBF" w:rsidTr="00801077">
        <w:trPr>
          <w:trHeight w:val="3829"/>
        </w:trPr>
        <w:tc>
          <w:tcPr>
            <w:tcW w:w="10485" w:type="dxa"/>
            <w:shd w:val="clear" w:color="auto" w:fill="FFFFFF" w:themeFill="background1"/>
          </w:tcPr>
          <w:p w:rsidR="00857FBF" w:rsidRPr="004C4F9B" w:rsidRDefault="00857FBF" w:rsidP="00857FBF">
            <w:pPr>
              <w:jc w:val="center"/>
              <w:rPr>
                <w:b/>
                <w:lang w:val="en-US"/>
              </w:rPr>
            </w:pPr>
            <w:r>
              <w:rPr>
                <w:noProof/>
                <w:lang w:eastAsia="en-GB"/>
              </w:rPr>
              <w:drawing>
                <wp:inline distT="0" distB="0" distL="0" distR="0" wp14:anchorId="611E289D" wp14:editId="5D08EE6B">
                  <wp:extent cx="2080904" cy="2219931"/>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25619" cy="2267633"/>
                          </a:xfrm>
                          <a:prstGeom prst="rect">
                            <a:avLst/>
                          </a:prstGeom>
                        </pic:spPr>
                      </pic:pic>
                    </a:graphicData>
                  </a:graphic>
                </wp:inline>
              </w:drawing>
            </w:r>
          </w:p>
        </w:tc>
      </w:tr>
      <w:tr w:rsidR="004C4F9B" w:rsidTr="00801077">
        <w:trPr>
          <w:trHeight w:val="1672"/>
        </w:trPr>
        <w:tc>
          <w:tcPr>
            <w:tcW w:w="10485" w:type="dxa"/>
          </w:tcPr>
          <w:p w:rsidR="004C4F9B" w:rsidRPr="00801077" w:rsidRDefault="004C4F9B" w:rsidP="00801077">
            <w:pPr>
              <w:pStyle w:val="ListParagraph"/>
              <w:numPr>
                <w:ilvl w:val="0"/>
                <w:numId w:val="6"/>
              </w:numPr>
              <w:rPr>
                <w:lang w:val="en-US"/>
              </w:rPr>
            </w:pPr>
            <w:r w:rsidRPr="00801077">
              <w:rPr>
                <w:lang w:val="en-US"/>
              </w:rPr>
              <w:t xml:space="preserve">Trinity will continue to employ a daytime cleaner who will go around the building cleaning door handles and banisters </w:t>
            </w:r>
            <w:r w:rsidR="003E39A8" w:rsidRPr="00801077">
              <w:rPr>
                <w:lang w:val="en-US"/>
              </w:rPr>
              <w:t xml:space="preserve">and other frequently touched areas </w:t>
            </w:r>
            <w:r w:rsidRPr="00801077">
              <w:rPr>
                <w:lang w:val="en-US"/>
              </w:rPr>
              <w:t>throughout the building</w:t>
            </w:r>
            <w:r w:rsidR="00801077" w:rsidRPr="00801077">
              <w:rPr>
                <w:lang w:val="en-US"/>
              </w:rPr>
              <w:t>s</w:t>
            </w:r>
            <w:r w:rsidRPr="00801077">
              <w:rPr>
                <w:lang w:val="en-US"/>
              </w:rPr>
              <w:t xml:space="preserve"> between movement times.</w:t>
            </w:r>
            <w:r w:rsidR="00801077" w:rsidRPr="00801077">
              <w:rPr>
                <w:lang w:val="en-US"/>
              </w:rPr>
              <w:t xml:space="preserve">  This is at both the primary and secondary sites.</w:t>
            </w:r>
          </w:p>
          <w:p w:rsidR="004C4F9B" w:rsidRPr="00801077" w:rsidRDefault="00801077" w:rsidP="00801077">
            <w:pPr>
              <w:pStyle w:val="ListParagraph"/>
              <w:numPr>
                <w:ilvl w:val="0"/>
                <w:numId w:val="6"/>
              </w:numPr>
              <w:rPr>
                <w:lang w:val="en-US"/>
              </w:rPr>
            </w:pPr>
            <w:r w:rsidRPr="00801077">
              <w:rPr>
                <w:lang w:val="en-US"/>
              </w:rPr>
              <w:t>The toilets will</w:t>
            </w:r>
            <w:r w:rsidR="004C4F9B" w:rsidRPr="00801077">
              <w:rPr>
                <w:lang w:val="en-US"/>
              </w:rPr>
              <w:t xml:space="preserve"> be cleaned and sanitized every 90 minutes throughout both buildings</w:t>
            </w:r>
            <w:r w:rsidR="003E39A8" w:rsidRPr="00801077">
              <w:rPr>
                <w:lang w:val="en-US"/>
              </w:rPr>
              <w:t>.</w:t>
            </w:r>
            <w:r w:rsidRPr="00801077">
              <w:rPr>
                <w:lang w:val="en-US"/>
              </w:rPr>
              <w:t xml:space="preserve"> To ensure regularly touched surfaces are wiped down, and these areas are kept clean and hygienic.</w:t>
            </w:r>
          </w:p>
          <w:p w:rsidR="003E39A8" w:rsidRPr="00801077" w:rsidRDefault="003E39A8" w:rsidP="00801077">
            <w:pPr>
              <w:pStyle w:val="ListParagraph"/>
              <w:numPr>
                <w:ilvl w:val="0"/>
                <w:numId w:val="6"/>
              </w:numPr>
              <w:rPr>
                <w:b/>
                <w:lang w:val="en-US"/>
              </w:rPr>
            </w:pPr>
            <w:r w:rsidRPr="00801077">
              <w:rPr>
                <w:lang w:val="en-US"/>
              </w:rPr>
              <w:t>Pupils can share equipment, but where possible these should be wiped down using the wet wipes as often as possible.</w:t>
            </w:r>
            <w:r w:rsidR="00801077" w:rsidRPr="00801077">
              <w:rPr>
                <w:lang w:val="en-US"/>
              </w:rPr>
              <w:t xml:space="preserve">  These wet wipes are in each classroom.  If there are support staff available these can be asked to support with this requirement.  If the pupils are old enough they can take responsibility for doing this as well.</w:t>
            </w:r>
          </w:p>
          <w:p w:rsidR="00801077" w:rsidRPr="00801077" w:rsidRDefault="00801077" w:rsidP="00801077">
            <w:pPr>
              <w:pStyle w:val="ListParagraph"/>
              <w:numPr>
                <w:ilvl w:val="0"/>
                <w:numId w:val="6"/>
              </w:numPr>
              <w:rPr>
                <w:b/>
                <w:lang w:val="en-US"/>
              </w:rPr>
            </w:pPr>
            <w:r>
              <w:rPr>
                <w:lang w:val="en-US"/>
              </w:rPr>
              <w:t>Each day the table tops will be fully wiped down and all bins emptie</w:t>
            </w:r>
            <w:r w:rsidR="00B65D21">
              <w:rPr>
                <w:lang w:val="en-US"/>
              </w:rPr>
              <w:t>d.</w:t>
            </w:r>
          </w:p>
        </w:tc>
      </w:tr>
    </w:tbl>
    <w:p w:rsidR="003E39A8" w:rsidRPr="003A2F7E" w:rsidRDefault="003E39A8">
      <w:pPr>
        <w:rPr>
          <w:sz w:val="4"/>
        </w:rPr>
      </w:pPr>
    </w:p>
    <w:p w:rsidR="00801077" w:rsidRDefault="00801077">
      <w:r>
        <w:br w:type="page"/>
      </w:r>
    </w:p>
    <w:tbl>
      <w:tblPr>
        <w:tblStyle w:val="TableGrid"/>
        <w:tblW w:w="10485" w:type="dxa"/>
        <w:tblLook w:val="04A0" w:firstRow="1" w:lastRow="0" w:firstColumn="1" w:lastColumn="0" w:noHBand="0" w:noVBand="1"/>
      </w:tblPr>
      <w:tblGrid>
        <w:gridCol w:w="10485"/>
      </w:tblGrid>
      <w:tr w:rsidR="003E39A8" w:rsidTr="003E39A8">
        <w:tc>
          <w:tcPr>
            <w:tcW w:w="10485" w:type="dxa"/>
            <w:shd w:val="clear" w:color="auto" w:fill="FFFF00"/>
          </w:tcPr>
          <w:p w:rsidR="003E39A8" w:rsidRDefault="003E39A8" w:rsidP="004C4F9B">
            <w:pPr>
              <w:rPr>
                <w:b/>
                <w:lang w:val="en-US"/>
              </w:rPr>
            </w:pPr>
            <w:r w:rsidRPr="004C4F9B">
              <w:rPr>
                <w:b/>
                <w:lang w:val="en-US"/>
              </w:rPr>
              <w:lastRenderedPageBreak/>
              <w:t>Keep occupied spaces well ventilated</w:t>
            </w:r>
          </w:p>
        </w:tc>
      </w:tr>
      <w:tr w:rsidR="00857FBF" w:rsidTr="00857FBF">
        <w:tc>
          <w:tcPr>
            <w:tcW w:w="10485" w:type="dxa"/>
            <w:shd w:val="clear" w:color="auto" w:fill="FFFFFF" w:themeFill="background1"/>
          </w:tcPr>
          <w:p w:rsidR="00B65D21" w:rsidRDefault="00B65D21" w:rsidP="00857FBF">
            <w:pPr>
              <w:jc w:val="center"/>
              <w:rPr>
                <w:b/>
                <w:lang w:val="en-US"/>
              </w:rPr>
            </w:pPr>
          </w:p>
          <w:p w:rsidR="00857FBF" w:rsidRDefault="00857FBF" w:rsidP="00857FBF">
            <w:pPr>
              <w:jc w:val="center"/>
              <w:rPr>
                <w:b/>
                <w:lang w:val="en-US"/>
              </w:rPr>
            </w:pPr>
            <w:r>
              <w:rPr>
                <w:noProof/>
                <w:lang w:eastAsia="en-GB"/>
              </w:rPr>
              <w:drawing>
                <wp:inline distT="0" distB="0" distL="0" distR="0" wp14:anchorId="6BD43C55" wp14:editId="5239B92A">
                  <wp:extent cx="2512299" cy="22569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schemeClr val="accent4">
                                <a:shade val="45000"/>
                                <a:satMod val="135000"/>
                              </a:schemeClr>
                              <a:prstClr val="white"/>
                            </a:duotone>
                          </a:blip>
                          <a:stretch>
                            <a:fillRect/>
                          </a:stretch>
                        </pic:blipFill>
                        <pic:spPr>
                          <a:xfrm>
                            <a:off x="0" y="0"/>
                            <a:ext cx="2600021" cy="2335736"/>
                          </a:xfrm>
                          <a:prstGeom prst="rect">
                            <a:avLst/>
                          </a:prstGeom>
                        </pic:spPr>
                      </pic:pic>
                    </a:graphicData>
                  </a:graphic>
                </wp:inline>
              </w:drawing>
            </w:r>
          </w:p>
          <w:p w:rsidR="00B65D21" w:rsidRPr="004C4F9B" w:rsidRDefault="00B65D21" w:rsidP="00857FBF">
            <w:pPr>
              <w:jc w:val="center"/>
              <w:rPr>
                <w:b/>
                <w:lang w:val="en-US"/>
              </w:rPr>
            </w:pPr>
          </w:p>
        </w:tc>
      </w:tr>
      <w:tr w:rsidR="003E39A8" w:rsidTr="004C4F9B">
        <w:tc>
          <w:tcPr>
            <w:tcW w:w="10485" w:type="dxa"/>
          </w:tcPr>
          <w:p w:rsidR="003E39A8" w:rsidRDefault="003E39A8" w:rsidP="004C4F9B">
            <w:pPr>
              <w:rPr>
                <w:lang w:val="en-US"/>
              </w:rPr>
            </w:pPr>
            <w:r>
              <w:rPr>
                <w:lang w:val="en-US"/>
              </w:rPr>
              <w:t>When Trinity is in operation it is important that we ensure it is well ventilated.</w:t>
            </w:r>
          </w:p>
          <w:p w:rsidR="003E39A8" w:rsidRPr="003E39A8" w:rsidRDefault="003E39A8" w:rsidP="003E39A8">
            <w:pPr>
              <w:pStyle w:val="ListParagraph"/>
              <w:numPr>
                <w:ilvl w:val="0"/>
                <w:numId w:val="4"/>
              </w:numPr>
              <w:rPr>
                <w:lang w:val="en-US"/>
              </w:rPr>
            </w:pPr>
            <w:r w:rsidRPr="003E39A8">
              <w:rPr>
                <w:lang w:val="en-US"/>
              </w:rPr>
              <w:t>In the Secondary phase we have a mechanical ventilation system that dr</w:t>
            </w:r>
            <w:r w:rsidR="00B65D21">
              <w:rPr>
                <w:lang w:val="en-US"/>
              </w:rPr>
              <w:t>aws air from the roof and pump this</w:t>
            </w:r>
            <w:r w:rsidRPr="003E39A8">
              <w:rPr>
                <w:lang w:val="en-US"/>
              </w:rPr>
              <w:t xml:space="preserve"> throughout the building.  This air is not re-circulated</w:t>
            </w:r>
            <w:r w:rsidR="00B65D21">
              <w:rPr>
                <w:lang w:val="en-US"/>
              </w:rPr>
              <w:t xml:space="preserve"> air</w:t>
            </w:r>
            <w:r w:rsidRPr="003E39A8">
              <w:rPr>
                <w:lang w:val="en-US"/>
              </w:rPr>
              <w:t>.  This helps to keep the building well ventil</w:t>
            </w:r>
            <w:r w:rsidR="00C56BB2">
              <w:rPr>
                <w:lang w:val="en-US"/>
              </w:rPr>
              <w:t xml:space="preserve">ated and is turned on to </w:t>
            </w:r>
            <w:proofErr w:type="spellStart"/>
            <w:r w:rsidR="00C56BB2">
              <w:rPr>
                <w:lang w:val="en-US"/>
              </w:rPr>
              <w:t>maximise</w:t>
            </w:r>
            <w:proofErr w:type="spellEnd"/>
            <w:r w:rsidRPr="003E39A8">
              <w:rPr>
                <w:lang w:val="en-US"/>
              </w:rPr>
              <w:t xml:space="preserve"> fresh air.</w:t>
            </w:r>
          </w:p>
          <w:p w:rsidR="003E39A8" w:rsidRPr="003E39A8" w:rsidRDefault="003E39A8" w:rsidP="003E39A8">
            <w:pPr>
              <w:pStyle w:val="ListParagraph"/>
              <w:numPr>
                <w:ilvl w:val="0"/>
                <w:numId w:val="4"/>
              </w:numPr>
              <w:rPr>
                <w:lang w:val="en-US"/>
              </w:rPr>
            </w:pPr>
            <w:r w:rsidRPr="003E39A8">
              <w:rPr>
                <w:lang w:val="en-US"/>
              </w:rPr>
              <w:t xml:space="preserve">In both </w:t>
            </w:r>
            <w:r>
              <w:rPr>
                <w:lang w:val="en-US"/>
              </w:rPr>
              <w:t>t</w:t>
            </w:r>
            <w:r w:rsidRPr="003E39A8">
              <w:rPr>
                <w:lang w:val="en-US"/>
              </w:rPr>
              <w:t>he primary and secondary phase internal doors should be kept open where possible.  If doors are required to be shut due to noise then windows should</w:t>
            </w:r>
            <w:r>
              <w:rPr>
                <w:lang w:val="en-US"/>
              </w:rPr>
              <w:t xml:space="preserve"> be open.</w:t>
            </w:r>
          </w:p>
          <w:p w:rsidR="003E39A8" w:rsidRDefault="003E39A8" w:rsidP="003E39A8">
            <w:pPr>
              <w:pStyle w:val="ListParagraph"/>
              <w:numPr>
                <w:ilvl w:val="0"/>
                <w:numId w:val="4"/>
              </w:numPr>
              <w:rPr>
                <w:lang w:val="en-US"/>
              </w:rPr>
            </w:pPr>
            <w:r w:rsidRPr="003E39A8">
              <w:rPr>
                <w:lang w:val="en-US"/>
              </w:rPr>
              <w:t xml:space="preserve">Windows should be kept open at both sites where possible.  </w:t>
            </w:r>
            <w:r>
              <w:rPr>
                <w:lang w:val="en-US"/>
              </w:rPr>
              <w:t>You should balance the need for increased ventilation while maintaining a comfortable temperature.  On very cold days try and have one window open slightly to allow some fresh air into the room.  If it becomes too cold then having the internal door open will increase ventilation substantially.</w:t>
            </w:r>
          </w:p>
          <w:p w:rsidR="00B65D21" w:rsidRPr="003E39A8" w:rsidRDefault="00B65D21" w:rsidP="003E39A8">
            <w:pPr>
              <w:pStyle w:val="ListParagraph"/>
              <w:numPr>
                <w:ilvl w:val="0"/>
                <w:numId w:val="4"/>
              </w:numPr>
              <w:rPr>
                <w:lang w:val="en-US"/>
              </w:rPr>
            </w:pPr>
            <w:r>
              <w:rPr>
                <w:lang w:val="en-US"/>
              </w:rPr>
              <w:t>For the few rooms with no opening windows the school does have the mechanical ventilation system in operation.  The school also has medical grade ventilation machines to support with air cleaning in these rooms.</w:t>
            </w:r>
          </w:p>
        </w:tc>
      </w:tr>
    </w:tbl>
    <w:p w:rsidR="003E39A8" w:rsidRDefault="003E39A8"/>
    <w:p w:rsidR="00B65D21" w:rsidRDefault="00B65D21">
      <w:r>
        <w:br w:type="page"/>
      </w:r>
    </w:p>
    <w:tbl>
      <w:tblPr>
        <w:tblStyle w:val="TableGrid"/>
        <w:tblW w:w="10485" w:type="dxa"/>
        <w:tblLook w:val="04A0" w:firstRow="1" w:lastRow="0" w:firstColumn="1" w:lastColumn="0" w:noHBand="0" w:noVBand="1"/>
      </w:tblPr>
      <w:tblGrid>
        <w:gridCol w:w="10485"/>
      </w:tblGrid>
      <w:tr w:rsidR="003E39A8" w:rsidTr="003F0F8E">
        <w:tc>
          <w:tcPr>
            <w:tcW w:w="10485" w:type="dxa"/>
            <w:shd w:val="clear" w:color="auto" w:fill="FFFF00"/>
          </w:tcPr>
          <w:p w:rsidR="003E39A8" w:rsidRDefault="003F0F8E" w:rsidP="004C4F9B">
            <w:pPr>
              <w:rPr>
                <w:lang w:val="en-US"/>
              </w:rPr>
            </w:pPr>
            <w:r w:rsidRPr="004C4F9B">
              <w:rPr>
                <w:b/>
                <w:lang w:val="en-US"/>
              </w:rPr>
              <w:lastRenderedPageBreak/>
              <w:t>Follow public health advice on testing, self-isolation and managing confirmed cases of COVID-19</w:t>
            </w:r>
          </w:p>
        </w:tc>
      </w:tr>
      <w:tr w:rsidR="003E39A8" w:rsidTr="00B65D21">
        <w:trPr>
          <w:trHeight w:val="3971"/>
        </w:trPr>
        <w:tc>
          <w:tcPr>
            <w:tcW w:w="10485" w:type="dxa"/>
          </w:tcPr>
          <w:p w:rsidR="00B65D21" w:rsidRDefault="00B65D21" w:rsidP="00FF2A68">
            <w:pPr>
              <w:jc w:val="center"/>
              <w:rPr>
                <w:lang w:val="en-US"/>
              </w:rPr>
            </w:pPr>
          </w:p>
          <w:p w:rsidR="003E39A8" w:rsidRDefault="00FF2A68" w:rsidP="00FF2A68">
            <w:pPr>
              <w:jc w:val="center"/>
              <w:rPr>
                <w:lang w:val="en-US"/>
              </w:rPr>
            </w:pPr>
            <w:r>
              <w:rPr>
                <w:noProof/>
                <w:lang w:eastAsia="en-GB"/>
              </w:rPr>
              <w:drawing>
                <wp:inline distT="0" distB="0" distL="0" distR="0" wp14:anchorId="507AD8FF" wp14:editId="671D1CC2">
                  <wp:extent cx="2401790" cy="2336213"/>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duotone>
                              <a:prstClr val="black"/>
                              <a:srgbClr val="7030A0">
                                <a:tint val="45000"/>
                                <a:satMod val="400000"/>
                              </a:srgbClr>
                            </a:duotone>
                          </a:blip>
                          <a:stretch>
                            <a:fillRect/>
                          </a:stretch>
                        </pic:blipFill>
                        <pic:spPr>
                          <a:xfrm>
                            <a:off x="0" y="0"/>
                            <a:ext cx="2465861" cy="2398535"/>
                          </a:xfrm>
                          <a:prstGeom prst="rect">
                            <a:avLst/>
                          </a:prstGeom>
                        </pic:spPr>
                      </pic:pic>
                    </a:graphicData>
                  </a:graphic>
                </wp:inline>
              </w:drawing>
            </w:r>
          </w:p>
          <w:p w:rsidR="00B65D21" w:rsidRDefault="00B65D21" w:rsidP="00FF2A68">
            <w:pPr>
              <w:jc w:val="center"/>
              <w:rPr>
                <w:lang w:val="en-US"/>
              </w:rPr>
            </w:pPr>
          </w:p>
        </w:tc>
      </w:tr>
      <w:tr w:rsidR="003E39A8" w:rsidTr="00B65D21">
        <w:trPr>
          <w:trHeight w:val="1249"/>
        </w:trPr>
        <w:tc>
          <w:tcPr>
            <w:tcW w:w="10485" w:type="dxa"/>
          </w:tcPr>
          <w:p w:rsidR="00B65D21" w:rsidRPr="00B65D21" w:rsidRDefault="003F0F8E" w:rsidP="00B65D21">
            <w:pPr>
              <w:pStyle w:val="ListParagraph"/>
              <w:numPr>
                <w:ilvl w:val="0"/>
                <w:numId w:val="7"/>
              </w:numPr>
              <w:rPr>
                <w:lang w:val="en-US"/>
              </w:rPr>
            </w:pPr>
            <w:r w:rsidRPr="00B65D21">
              <w:rPr>
                <w:lang w:val="en-US"/>
              </w:rPr>
              <w:t xml:space="preserve">Pupils, staff and other adults should follow public health advice on when to self-isolate and what to do.  </w:t>
            </w:r>
          </w:p>
          <w:p w:rsidR="00B65D21" w:rsidRPr="00B65D21" w:rsidRDefault="00B65D21" w:rsidP="00B65D21">
            <w:pPr>
              <w:pStyle w:val="ListParagraph"/>
              <w:numPr>
                <w:ilvl w:val="0"/>
                <w:numId w:val="7"/>
              </w:numPr>
              <w:rPr>
                <w:lang w:val="en-US"/>
              </w:rPr>
            </w:pPr>
            <w:r w:rsidRPr="00B65D21">
              <w:rPr>
                <w:lang w:val="en-US"/>
              </w:rPr>
              <w:t>Staff and pupils must</w:t>
            </w:r>
            <w:r w:rsidR="003F0F8E" w:rsidRPr="00B65D21">
              <w:rPr>
                <w:lang w:val="en-US"/>
              </w:rPr>
              <w:t xml:space="preserve"> not come into school if </w:t>
            </w:r>
            <w:r w:rsidRPr="00B65D21">
              <w:rPr>
                <w:lang w:val="en-US"/>
              </w:rPr>
              <w:t>they</w:t>
            </w:r>
            <w:r w:rsidR="003F0F8E" w:rsidRPr="00B65D21">
              <w:rPr>
                <w:lang w:val="en-US"/>
              </w:rPr>
              <w:t xml:space="preserve"> have any symptoms, have ha</w:t>
            </w:r>
            <w:r w:rsidRPr="00B65D21">
              <w:rPr>
                <w:lang w:val="en-US"/>
              </w:rPr>
              <w:t>d a positive test result or</w:t>
            </w:r>
            <w:r w:rsidR="003F0F8E" w:rsidRPr="00B65D21">
              <w:rPr>
                <w:lang w:val="en-US"/>
              </w:rPr>
              <w:t xml:space="preserve"> have to quarantine.  </w:t>
            </w:r>
            <w:r w:rsidRPr="00B65D21">
              <w:rPr>
                <w:lang w:val="en-US"/>
              </w:rPr>
              <w:t>Evidence must be shown from track and trace to help with recording of absence.</w:t>
            </w:r>
          </w:p>
          <w:p w:rsidR="00B65D21" w:rsidRPr="00B65D21" w:rsidRDefault="00B65D21" w:rsidP="00B65D21">
            <w:pPr>
              <w:pStyle w:val="ListParagraph"/>
              <w:numPr>
                <w:ilvl w:val="0"/>
                <w:numId w:val="7"/>
              </w:numPr>
              <w:rPr>
                <w:lang w:val="en-US"/>
              </w:rPr>
            </w:pPr>
            <w:r w:rsidRPr="00B65D21">
              <w:rPr>
                <w:lang w:val="en-US"/>
              </w:rPr>
              <w:t>If a member of the school population has symptoms they must organize a PCR test and inform the school of the result immediately.</w:t>
            </w:r>
          </w:p>
          <w:p w:rsidR="003E39A8" w:rsidRDefault="003F0F8E" w:rsidP="00B65D21">
            <w:pPr>
              <w:pStyle w:val="ListParagraph"/>
              <w:numPr>
                <w:ilvl w:val="0"/>
                <w:numId w:val="7"/>
              </w:numPr>
              <w:rPr>
                <w:lang w:val="en-US"/>
              </w:rPr>
            </w:pPr>
            <w:r w:rsidRPr="00B65D21">
              <w:rPr>
                <w:lang w:val="en-US"/>
              </w:rPr>
              <w:t>If anyone in school develops the symptoms they will be sent home and told to follow public health advice.</w:t>
            </w:r>
            <w:r w:rsidR="00B65D21" w:rsidRPr="00B65D21">
              <w:rPr>
                <w:lang w:val="en-US"/>
              </w:rPr>
              <w:t xml:space="preserve">  If staff are concerned about a particular pupil they should send them to the first aid team who will risk assess, contact families and make an appropriate decision.</w:t>
            </w:r>
          </w:p>
          <w:p w:rsidR="00A56FB0" w:rsidRPr="00B65D21" w:rsidRDefault="00A56FB0" w:rsidP="00B65D21">
            <w:pPr>
              <w:pStyle w:val="ListParagraph"/>
              <w:numPr>
                <w:ilvl w:val="0"/>
                <w:numId w:val="7"/>
              </w:numPr>
              <w:rPr>
                <w:lang w:val="en-US"/>
              </w:rPr>
            </w:pPr>
            <w:r>
              <w:rPr>
                <w:lang w:val="en-US"/>
              </w:rPr>
              <w:t>If the school has an increased number of positive cases it may be requested to move up a level on their own Outbreak Management Plan (see appendix A for Trinity’s plan).  Staff and pupils must adapt and move up or down the escalation / de-escalation process as requested.</w:t>
            </w:r>
          </w:p>
        </w:tc>
      </w:tr>
    </w:tbl>
    <w:p w:rsidR="00FF2A68" w:rsidRDefault="00FF2A68"/>
    <w:p w:rsidR="00A56FB0" w:rsidRDefault="00A56FB0">
      <w:pPr>
        <w:rPr>
          <w:b/>
          <w:u w:val="single"/>
          <w:lang w:val="en-US"/>
        </w:rPr>
      </w:pPr>
      <w:r>
        <w:rPr>
          <w:b/>
          <w:u w:val="single"/>
          <w:lang w:val="en-US"/>
        </w:rPr>
        <w:br w:type="page"/>
      </w:r>
    </w:p>
    <w:p w:rsidR="00FF2A68" w:rsidRDefault="00FF2A68" w:rsidP="004C4F9B">
      <w:pPr>
        <w:rPr>
          <w:b/>
          <w:u w:val="single"/>
          <w:lang w:val="en-US"/>
        </w:rPr>
      </w:pPr>
      <w:r w:rsidRPr="00FF2A68">
        <w:rPr>
          <w:b/>
          <w:u w:val="single"/>
          <w:lang w:val="en-US"/>
        </w:rPr>
        <w:lastRenderedPageBreak/>
        <w:t>Remote education</w:t>
      </w:r>
    </w:p>
    <w:p w:rsidR="00FF2A68" w:rsidRPr="00FF2A68" w:rsidRDefault="00FF2A68" w:rsidP="00FF2A68">
      <w:pPr>
        <w:jc w:val="center"/>
        <w:rPr>
          <w:b/>
          <w:u w:val="single"/>
          <w:lang w:val="en-US"/>
        </w:rPr>
      </w:pPr>
      <w:r>
        <w:rPr>
          <w:noProof/>
          <w:lang w:eastAsia="en-GB"/>
        </w:rPr>
        <w:drawing>
          <wp:inline distT="0" distB="0" distL="0" distR="0" wp14:anchorId="0680FDE4" wp14:editId="40477787">
            <wp:extent cx="2142442" cy="1674891"/>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duotone>
                        <a:schemeClr val="accent5">
                          <a:shade val="45000"/>
                          <a:satMod val="135000"/>
                        </a:schemeClr>
                        <a:prstClr val="white"/>
                      </a:duotone>
                    </a:blip>
                    <a:stretch>
                      <a:fillRect/>
                    </a:stretch>
                  </pic:blipFill>
                  <pic:spPr>
                    <a:xfrm>
                      <a:off x="0" y="0"/>
                      <a:ext cx="2215339" cy="1731879"/>
                    </a:xfrm>
                    <a:prstGeom prst="rect">
                      <a:avLst/>
                    </a:prstGeom>
                  </pic:spPr>
                </pic:pic>
              </a:graphicData>
            </a:graphic>
          </wp:inline>
        </w:drawing>
      </w:r>
    </w:p>
    <w:p w:rsidR="00FF2A68" w:rsidRDefault="00FF2A68" w:rsidP="004C4F9B">
      <w:pPr>
        <w:rPr>
          <w:lang w:val="en-US"/>
        </w:rPr>
      </w:pPr>
      <w:r>
        <w:rPr>
          <w:lang w:val="en-US"/>
        </w:rPr>
        <w:t xml:space="preserve">Pupils that are self-isolating for whatever reason must be provided with clear work through the schools remote education programme.   We must maintain our capacity to deliver high quality remote education for </w:t>
      </w:r>
      <w:r w:rsidR="00C56BB2">
        <w:rPr>
          <w:lang w:val="en-US"/>
        </w:rPr>
        <w:t xml:space="preserve">the </w:t>
      </w:r>
      <w:r w:rsidR="00A56FB0">
        <w:rPr>
          <w:lang w:val="en-US"/>
        </w:rPr>
        <w:t>next academic</w:t>
      </w:r>
      <w:r>
        <w:rPr>
          <w:lang w:val="en-US"/>
        </w:rPr>
        <w:t xml:space="preserve"> year.  The remote education provided should be equivalent in length to the core teaching pupils would receive in school.  We will work collaboratively with families to put in place reasonable adjustments so that pupils with SEND can successfully access remote learning.</w:t>
      </w:r>
    </w:p>
    <w:p w:rsidR="00FF2A68" w:rsidRDefault="00FF2A68" w:rsidP="004C4F9B">
      <w:pPr>
        <w:rPr>
          <w:lang w:val="en-US"/>
        </w:rPr>
      </w:pPr>
      <w:r>
        <w:rPr>
          <w:lang w:val="en-US"/>
        </w:rPr>
        <w:t>Our provision will include:</w:t>
      </w:r>
    </w:p>
    <w:p w:rsidR="00FF2A68" w:rsidRPr="00FF2A68" w:rsidRDefault="00FF2A68" w:rsidP="00FF2A68">
      <w:pPr>
        <w:pStyle w:val="ListParagraph"/>
        <w:numPr>
          <w:ilvl w:val="0"/>
          <w:numId w:val="5"/>
        </w:numPr>
        <w:rPr>
          <w:lang w:val="en-US"/>
        </w:rPr>
      </w:pPr>
      <w:r w:rsidRPr="00FF2A68">
        <w:rPr>
          <w:lang w:val="en-US"/>
        </w:rPr>
        <w:t xml:space="preserve">The use of TEAMS for the secondary phase.  Pupils will be using this as their homework portal all year and therefore </w:t>
      </w:r>
      <w:r w:rsidR="00A56FB0">
        <w:rPr>
          <w:lang w:val="en-US"/>
        </w:rPr>
        <w:t xml:space="preserve">will </w:t>
      </w:r>
      <w:r w:rsidRPr="00FF2A68">
        <w:rPr>
          <w:lang w:val="en-US"/>
        </w:rPr>
        <w:t>be used to using it and will be able to switch to Teams learning if they have to access Remote Learning.</w:t>
      </w:r>
    </w:p>
    <w:p w:rsidR="00FF2A68" w:rsidRDefault="00FF2A68" w:rsidP="00FF2A68">
      <w:pPr>
        <w:pStyle w:val="ListParagraph"/>
        <w:numPr>
          <w:ilvl w:val="0"/>
          <w:numId w:val="5"/>
        </w:numPr>
        <w:rPr>
          <w:lang w:val="en-US"/>
        </w:rPr>
      </w:pPr>
      <w:r w:rsidRPr="00FF2A68">
        <w:rPr>
          <w:lang w:val="en-US"/>
        </w:rPr>
        <w:t>The primary phase will continue to use</w:t>
      </w:r>
      <w:r w:rsidR="00684DFD">
        <w:rPr>
          <w:lang w:val="en-US"/>
        </w:rPr>
        <w:t xml:space="preserve"> class Dojo and Zoom daily meets plus a mixture of live lessons and recorded learning.</w:t>
      </w:r>
    </w:p>
    <w:p w:rsidR="00A56FB0" w:rsidRDefault="00A56FB0" w:rsidP="00FF2A68">
      <w:pPr>
        <w:rPr>
          <w:b/>
          <w:u w:val="single"/>
          <w:lang w:val="en-US"/>
        </w:rPr>
      </w:pPr>
    </w:p>
    <w:p w:rsidR="00A56FB0" w:rsidRDefault="00A56FB0" w:rsidP="00FF2A68">
      <w:pPr>
        <w:rPr>
          <w:b/>
          <w:u w:val="single"/>
          <w:lang w:val="en-US"/>
        </w:rPr>
      </w:pPr>
    </w:p>
    <w:p w:rsidR="00FF2A68" w:rsidRPr="00EC6974" w:rsidRDefault="00FF2A68" w:rsidP="00FF2A68">
      <w:pPr>
        <w:rPr>
          <w:b/>
          <w:u w:val="single"/>
          <w:lang w:val="en-US"/>
        </w:rPr>
      </w:pPr>
      <w:r w:rsidRPr="00EC6974">
        <w:rPr>
          <w:b/>
          <w:u w:val="single"/>
          <w:lang w:val="en-US"/>
        </w:rPr>
        <w:t>Education Recovery</w:t>
      </w:r>
    </w:p>
    <w:p w:rsidR="00EC6974" w:rsidRDefault="00EC6974" w:rsidP="00EC6974">
      <w:pPr>
        <w:jc w:val="center"/>
        <w:rPr>
          <w:lang w:val="en-US"/>
        </w:rPr>
      </w:pPr>
      <w:r>
        <w:rPr>
          <w:noProof/>
          <w:lang w:eastAsia="en-GB"/>
        </w:rPr>
        <w:drawing>
          <wp:inline distT="0" distB="0" distL="0" distR="0" wp14:anchorId="2AE59463" wp14:editId="4B912F25">
            <wp:extent cx="1628155" cy="14535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duotone>
                        <a:prstClr val="black"/>
                        <a:schemeClr val="accent4">
                          <a:tint val="45000"/>
                          <a:satMod val="400000"/>
                        </a:schemeClr>
                      </a:duotone>
                    </a:blip>
                    <a:stretch>
                      <a:fillRect/>
                    </a:stretch>
                  </pic:blipFill>
                  <pic:spPr>
                    <a:xfrm>
                      <a:off x="0" y="0"/>
                      <a:ext cx="1657484" cy="1479710"/>
                    </a:xfrm>
                    <a:prstGeom prst="rect">
                      <a:avLst/>
                    </a:prstGeom>
                  </pic:spPr>
                </pic:pic>
              </a:graphicData>
            </a:graphic>
          </wp:inline>
        </w:drawing>
      </w:r>
    </w:p>
    <w:p w:rsidR="00FF2A68" w:rsidRPr="00FF2A68" w:rsidRDefault="00FF2A68" w:rsidP="00FF2A68">
      <w:pPr>
        <w:rPr>
          <w:lang w:val="en-US"/>
        </w:rPr>
        <w:sectPr w:rsidR="00FF2A68" w:rsidRPr="00FF2A68" w:rsidSect="00BB4E49">
          <w:headerReference w:type="default" r:id="rId14"/>
          <w:pgSz w:w="11906" w:h="16838"/>
          <w:pgMar w:top="720" w:right="720" w:bottom="720" w:left="720" w:header="284" w:footer="397" w:gutter="0"/>
          <w:cols w:space="708"/>
          <w:docGrid w:linePitch="360"/>
        </w:sectPr>
      </w:pPr>
      <w:r>
        <w:rPr>
          <w:lang w:val="en-US"/>
        </w:rPr>
        <w:t xml:space="preserve">Please see our catch-up premium spend plan for details on how we have used this money to support pupils learning </w:t>
      </w:r>
      <w:r w:rsidR="00EC6974">
        <w:rPr>
          <w:lang w:val="en-US"/>
        </w:rPr>
        <w:t>during the COVID period.  Trinity set up a 1 week intensive summer school for our year 6 into 7 pupils and had 90% attendance from the year group.  This</w:t>
      </w:r>
      <w:r w:rsidR="00C56BB2">
        <w:rPr>
          <w:lang w:val="en-US"/>
        </w:rPr>
        <w:t xml:space="preserve"> is</w:t>
      </w:r>
      <w:r w:rsidR="00EC6974">
        <w:rPr>
          <w:lang w:val="en-US"/>
        </w:rPr>
        <w:t xml:space="preserve"> supporting English, Maths, Science, RE and the wider curriculum.</w:t>
      </w:r>
    </w:p>
    <w:p w:rsidR="00863370" w:rsidRPr="00863370" w:rsidRDefault="00D3602C">
      <w:pPr>
        <w:rPr>
          <w:b/>
          <w:u w:val="single"/>
          <w:lang w:val="en-US"/>
        </w:rPr>
      </w:pPr>
      <w:r>
        <w:rPr>
          <w:b/>
          <w:u w:val="single"/>
          <w:lang w:val="en-US"/>
        </w:rPr>
        <w:lastRenderedPageBreak/>
        <w:t xml:space="preserve">Appendix A:  </w:t>
      </w:r>
      <w:r w:rsidR="00863370" w:rsidRPr="00863370">
        <w:rPr>
          <w:b/>
          <w:u w:val="single"/>
          <w:lang w:val="en-US"/>
        </w:rPr>
        <w:t>Outbreak management plan</w:t>
      </w:r>
    </w:p>
    <w:p w:rsidR="00863370" w:rsidRDefault="00863370">
      <w:pPr>
        <w:rPr>
          <w:lang w:val="en-US"/>
        </w:rPr>
      </w:pPr>
      <w:r>
        <w:rPr>
          <w:lang w:val="en-US"/>
        </w:rPr>
        <w:t>In line with expectations schools are required to have an outbreak management plan that covers the possibility that in some local areas it may become necessary to reintroduce additional measures temporarily to reduce the spread of COVID 19.  This grid shows how Trinity will respond depending on the information given to us from Public Health England / Lewisham or the DFE.</w:t>
      </w:r>
      <w:r w:rsidR="00A56FB0">
        <w:rPr>
          <w:lang w:val="en-US"/>
        </w:rPr>
        <w:t xml:space="preserve">  The school will escalate from Low risk to medium through to high risk when requested – and de-escalate down the risk list when required to do so.</w:t>
      </w:r>
    </w:p>
    <w:p w:rsidR="00863370" w:rsidRDefault="00863370">
      <w:pPr>
        <w:rPr>
          <w:lang w:val="en-US"/>
        </w:rPr>
      </w:pPr>
      <w:r>
        <w:rPr>
          <w:noProof/>
          <w:lang w:eastAsia="en-GB"/>
        </w:rPr>
        <w:drawing>
          <wp:inline distT="0" distB="0" distL="0" distR="0">
            <wp:extent cx="9563100" cy="4906979"/>
            <wp:effectExtent l="0" t="0" r="19050" b="273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E5FF1" w:rsidRDefault="003E5FF1">
      <w:pPr>
        <w:rPr>
          <w:lang w:val="en-US"/>
        </w:rPr>
      </w:pPr>
    </w:p>
    <w:p w:rsidR="003E5FF1" w:rsidRPr="003E5FF1" w:rsidRDefault="003E5FF1">
      <w:pPr>
        <w:rPr>
          <w:lang w:val="en-US"/>
        </w:rPr>
      </w:pPr>
    </w:p>
    <w:sectPr w:rsidR="003E5FF1" w:rsidRPr="003E5FF1" w:rsidSect="004D4DA4">
      <w:pgSz w:w="16838" w:h="11906" w:orient="landscape"/>
      <w:pgMar w:top="510" w:right="720" w:bottom="510" w:left="72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B8" w:rsidRDefault="00B951B8" w:rsidP="004D4DA4">
      <w:pPr>
        <w:spacing w:after="0" w:line="240" w:lineRule="auto"/>
      </w:pPr>
      <w:r>
        <w:separator/>
      </w:r>
    </w:p>
  </w:endnote>
  <w:endnote w:type="continuationSeparator" w:id="0">
    <w:p w:rsidR="00B951B8" w:rsidRDefault="00B951B8" w:rsidP="004D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B8" w:rsidRDefault="00B951B8" w:rsidP="004D4DA4">
      <w:pPr>
        <w:spacing w:after="0" w:line="240" w:lineRule="auto"/>
      </w:pPr>
      <w:r>
        <w:separator/>
      </w:r>
    </w:p>
  </w:footnote>
  <w:footnote w:type="continuationSeparator" w:id="0">
    <w:p w:rsidR="00B951B8" w:rsidRDefault="00B951B8" w:rsidP="004D4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081981"/>
      <w:docPartObj>
        <w:docPartGallery w:val="Page Numbers (Top of Page)"/>
        <w:docPartUnique/>
      </w:docPartObj>
    </w:sdtPr>
    <w:sdtEndPr>
      <w:rPr>
        <w:color w:val="7F7F7F" w:themeColor="background1" w:themeShade="7F"/>
        <w:spacing w:val="60"/>
      </w:rPr>
    </w:sdtEndPr>
    <w:sdtContent>
      <w:p w:rsidR="004D4DA4" w:rsidRDefault="004D4DA4">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FB3A17" w:rsidRPr="00FB3A17">
          <w:rPr>
            <w:b/>
            <w:bCs/>
            <w:noProof/>
          </w:rPr>
          <w:t>3</w:t>
        </w:r>
        <w:r>
          <w:rPr>
            <w:b/>
            <w:bCs/>
            <w:noProof/>
          </w:rPr>
          <w:fldChar w:fldCharType="end"/>
        </w:r>
        <w:r>
          <w:rPr>
            <w:b/>
            <w:bCs/>
          </w:rPr>
          <w:t xml:space="preserve"> | </w:t>
        </w:r>
        <w:r>
          <w:rPr>
            <w:color w:val="7F7F7F" w:themeColor="background1" w:themeShade="7F"/>
            <w:spacing w:val="60"/>
          </w:rPr>
          <w:t>Page</w:t>
        </w:r>
      </w:p>
    </w:sdtContent>
  </w:sdt>
  <w:p w:rsidR="004D4DA4" w:rsidRDefault="004D4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4D6A"/>
    <w:multiLevelType w:val="hybridMultilevel"/>
    <w:tmpl w:val="30B6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A77A83"/>
    <w:multiLevelType w:val="hybridMultilevel"/>
    <w:tmpl w:val="A2E46B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98072A"/>
    <w:multiLevelType w:val="hybridMultilevel"/>
    <w:tmpl w:val="FE8E1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BED3317"/>
    <w:multiLevelType w:val="hybridMultilevel"/>
    <w:tmpl w:val="6002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8D5B7D"/>
    <w:multiLevelType w:val="hybridMultilevel"/>
    <w:tmpl w:val="26562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7CD4F43"/>
    <w:multiLevelType w:val="hybridMultilevel"/>
    <w:tmpl w:val="22FEF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ECC74B4"/>
    <w:multiLevelType w:val="hybridMultilevel"/>
    <w:tmpl w:val="D1065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FF1"/>
    <w:rsid w:val="00003F38"/>
    <w:rsid w:val="000A50B7"/>
    <w:rsid w:val="00136B45"/>
    <w:rsid w:val="002D43DB"/>
    <w:rsid w:val="0034608F"/>
    <w:rsid w:val="003A2F7E"/>
    <w:rsid w:val="003E1D85"/>
    <w:rsid w:val="003E39A8"/>
    <w:rsid w:val="003E5FF1"/>
    <w:rsid w:val="003F0F8E"/>
    <w:rsid w:val="00420EA8"/>
    <w:rsid w:val="004B6F4C"/>
    <w:rsid w:val="004C4F9B"/>
    <w:rsid w:val="004D4DA4"/>
    <w:rsid w:val="00684DFD"/>
    <w:rsid w:val="00784EE2"/>
    <w:rsid w:val="007A687E"/>
    <w:rsid w:val="00801077"/>
    <w:rsid w:val="0082579C"/>
    <w:rsid w:val="00827516"/>
    <w:rsid w:val="00857FBF"/>
    <w:rsid w:val="00863370"/>
    <w:rsid w:val="008A2348"/>
    <w:rsid w:val="00A56FB0"/>
    <w:rsid w:val="00AA2943"/>
    <w:rsid w:val="00AB727A"/>
    <w:rsid w:val="00B65D21"/>
    <w:rsid w:val="00B83C1B"/>
    <w:rsid w:val="00B951B8"/>
    <w:rsid w:val="00BB4E49"/>
    <w:rsid w:val="00C1549F"/>
    <w:rsid w:val="00C50E90"/>
    <w:rsid w:val="00C56BB2"/>
    <w:rsid w:val="00C76A8A"/>
    <w:rsid w:val="00CA35E7"/>
    <w:rsid w:val="00D3602C"/>
    <w:rsid w:val="00DB1A93"/>
    <w:rsid w:val="00E14151"/>
    <w:rsid w:val="00E86071"/>
    <w:rsid w:val="00EB0E9C"/>
    <w:rsid w:val="00EC6974"/>
    <w:rsid w:val="00EF78CE"/>
    <w:rsid w:val="00F101F0"/>
    <w:rsid w:val="00F14C17"/>
    <w:rsid w:val="00FA68FD"/>
    <w:rsid w:val="00FB3A17"/>
    <w:rsid w:val="00FF2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0ADED1-9F68-4899-BA88-EB66C18A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370"/>
    <w:pPr>
      <w:ind w:left="720"/>
      <w:contextualSpacing/>
    </w:pPr>
  </w:style>
  <w:style w:type="table" w:styleId="TableGrid">
    <w:name w:val="Table Grid"/>
    <w:basedOn w:val="TableNormal"/>
    <w:uiPriority w:val="39"/>
    <w:rsid w:val="004C4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4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DA4"/>
  </w:style>
  <w:style w:type="paragraph" w:styleId="Footer">
    <w:name w:val="footer"/>
    <w:basedOn w:val="Normal"/>
    <w:link w:val="FooterChar"/>
    <w:uiPriority w:val="99"/>
    <w:unhideWhenUsed/>
    <w:rsid w:val="004D4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image" Target="media/image4.pn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416FEF-EBBD-4660-8DE4-55B7F0043642}" type="doc">
      <dgm:prSet loTypeId="urn:microsoft.com/office/officeart/2005/8/layout/target3" loCatId="list" qsTypeId="urn:microsoft.com/office/officeart/2005/8/quickstyle/simple1" qsCatId="simple" csTypeId="urn:microsoft.com/office/officeart/2005/8/colors/colorful5" csCatId="colorful" phldr="1"/>
      <dgm:spPr/>
      <dgm:t>
        <a:bodyPr/>
        <a:lstStyle/>
        <a:p>
          <a:endParaRPr lang="en-GB"/>
        </a:p>
      </dgm:t>
    </dgm:pt>
    <dgm:pt modelId="{FD221775-31A3-44CF-ACAC-6A2B7CB4807A}">
      <dgm:prSet phldrT="[Text]"/>
      <dgm:spPr/>
      <dgm:t>
        <a:bodyPr/>
        <a:lstStyle/>
        <a:p>
          <a:r>
            <a:rPr lang="en-GB"/>
            <a:t>High Risk</a:t>
          </a:r>
        </a:p>
      </dgm:t>
    </dgm:pt>
    <dgm:pt modelId="{9EA249EC-9FCE-478C-87F4-E7C3460A9B07}" type="parTrans" cxnId="{0586DFDC-86E8-4A51-A377-2E983D5938F8}">
      <dgm:prSet/>
      <dgm:spPr/>
      <dgm:t>
        <a:bodyPr/>
        <a:lstStyle/>
        <a:p>
          <a:endParaRPr lang="en-GB"/>
        </a:p>
      </dgm:t>
    </dgm:pt>
    <dgm:pt modelId="{016935E6-D978-4205-B9A7-FF50FB421460}" type="sibTrans" cxnId="{0586DFDC-86E8-4A51-A377-2E983D5938F8}">
      <dgm:prSet/>
      <dgm:spPr/>
      <dgm:t>
        <a:bodyPr/>
        <a:lstStyle/>
        <a:p>
          <a:endParaRPr lang="en-GB"/>
        </a:p>
      </dgm:t>
    </dgm:pt>
    <dgm:pt modelId="{556A7DE8-E7CB-4E8B-8EA5-6A5B40C9D641}">
      <dgm:prSet phldrT="[Text]"/>
      <dgm:spPr/>
      <dgm:t>
        <a:bodyPr/>
        <a:lstStyle/>
        <a:p>
          <a:r>
            <a:rPr lang="en-GB" b="1">
              <a:solidFill>
                <a:srgbClr val="FF0000"/>
              </a:solidFill>
            </a:rPr>
            <a:t>The risk is high and public health has informed the school for a fixed period of time to re-introduce full measures across the school:</a:t>
          </a:r>
        </a:p>
      </dgm:t>
    </dgm:pt>
    <dgm:pt modelId="{86B532FB-80BE-421D-A138-9CCA686F8708}" type="parTrans" cxnId="{E3310A99-67E3-4901-A7D0-926779F4C73B}">
      <dgm:prSet/>
      <dgm:spPr/>
      <dgm:t>
        <a:bodyPr/>
        <a:lstStyle/>
        <a:p>
          <a:endParaRPr lang="en-GB"/>
        </a:p>
      </dgm:t>
    </dgm:pt>
    <dgm:pt modelId="{259E3F60-1B41-468D-8516-DDA21953A6A4}" type="sibTrans" cxnId="{E3310A99-67E3-4901-A7D0-926779F4C73B}">
      <dgm:prSet/>
      <dgm:spPr/>
      <dgm:t>
        <a:bodyPr/>
        <a:lstStyle/>
        <a:p>
          <a:endParaRPr lang="en-GB"/>
        </a:p>
      </dgm:t>
    </dgm:pt>
    <dgm:pt modelId="{ABBC1960-BDE8-4C46-BD7B-AED07064ADB7}">
      <dgm:prSet phldrT="[Text]"/>
      <dgm:spPr/>
      <dgm:t>
        <a:bodyPr/>
        <a:lstStyle/>
        <a:p>
          <a:r>
            <a:rPr lang="en-GB"/>
            <a:t>All other measures below will also be in place</a:t>
          </a:r>
        </a:p>
      </dgm:t>
    </dgm:pt>
    <dgm:pt modelId="{F2E33C0C-80A5-4CB8-832E-03DBC5552BB6}" type="parTrans" cxnId="{B8D69E9D-4459-48E1-88F4-2BF2420B26FD}">
      <dgm:prSet/>
      <dgm:spPr/>
      <dgm:t>
        <a:bodyPr/>
        <a:lstStyle/>
        <a:p>
          <a:endParaRPr lang="en-GB"/>
        </a:p>
      </dgm:t>
    </dgm:pt>
    <dgm:pt modelId="{1DDBF03F-7C46-4D35-B9D4-FE1ABE20FBDA}" type="sibTrans" cxnId="{B8D69E9D-4459-48E1-88F4-2BF2420B26FD}">
      <dgm:prSet/>
      <dgm:spPr/>
      <dgm:t>
        <a:bodyPr/>
        <a:lstStyle/>
        <a:p>
          <a:endParaRPr lang="en-GB"/>
        </a:p>
      </dgm:t>
    </dgm:pt>
    <dgm:pt modelId="{4DF79F6E-130A-4DBE-AA78-11A04C893F80}">
      <dgm:prSet phldrT="[Text]"/>
      <dgm:spPr/>
      <dgm:t>
        <a:bodyPr/>
        <a:lstStyle/>
        <a:p>
          <a:r>
            <a:rPr lang="en-GB"/>
            <a:t>Medium Risk</a:t>
          </a:r>
        </a:p>
      </dgm:t>
    </dgm:pt>
    <dgm:pt modelId="{E82D5E5C-AE01-447B-84B4-406DA9EA4945}" type="parTrans" cxnId="{2FC85F66-FBBC-41DE-B49E-FAC08DB448C6}">
      <dgm:prSet/>
      <dgm:spPr/>
      <dgm:t>
        <a:bodyPr/>
        <a:lstStyle/>
        <a:p>
          <a:endParaRPr lang="en-GB"/>
        </a:p>
      </dgm:t>
    </dgm:pt>
    <dgm:pt modelId="{5D9AEA2D-7CA1-4E63-A70B-5AA88915E79F}" type="sibTrans" cxnId="{2FC85F66-FBBC-41DE-B49E-FAC08DB448C6}">
      <dgm:prSet/>
      <dgm:spPr/>
      <dgm:t>
        <a:bodyPr/>
        <a:lstStyle/>
        <a:p>
          <a:endParaRPr lang="en-GB"/>
        </a:p>
      </dgm:t>
    </dgm:pt>
    <dgm:pt modelId="{2F7F2D47-4D7C-45BE-B380-817212050B5B}">
      <dgm:prSet phldrT="[Text]"/>
      <dgm:spPr/>
      <dgm:t>
        <a:bodyPr/>
        <a:lstStyle/>
        <a:p>
          <a:r>
            <a:rPr lang="en-GB" b="1">
              <a:solidFill>
                <a:srgbClr val="FF0000"/>
              </a:solidFill>
            </a:rPr>
            <a:t>The risk has risen and public health have informed the school to increase the support measures within the school to include:</a:t>
          </a:r>
        </a:p>
      </dgm:t>
    </dgm:pt>
    <dgm:pt modelId="{A65B1B83-8082-44DD-ADCF-FCDB4D532B35}" type="parTrans" cxnId="{76DCD110-8C30-457A-957C-91D106D02E74}">
      <dgm:prSet/>
      <dgm:spPr/>
      <dgm:t>
        <a:bodyPr/>
        <a:lstStyle/>
        <a:p>
          <a:endParaRPr lang="en-GB"/>
        </a:p>
      </dgm:t>
    </dgm:pt>
    <dgm:pt modelId="{4A30B449-3B8D-4B41-AC56-987877EB9941}" type="sibTrans" cxnId="{76DCD110-8C30-457A-957C-91D106D02E74}">
      <dgm:prSet/>
      <dgm:spPr/>
      <dgm:t>
        <a:bodyPr/>
        <a:lstStyle/>
        <a:p>
          <a:endParaRPr lang="en-GB"/>
        </a:p>
      </dgm:t>
    </dgm:pt>
    <dgm:pt modelId="{3D20D565-68A0-41C1-96F7-3256D43F12AC}">
      <dgm:prSet phldrT="[Text]"/>
      <dgm:spPr/>
      <dgm:t>
        <a:bodyPr/>
        <a:lstStyle/>
        <a:p>
          <a:r>
            <a:rPr lang="en-GB"/>
            <a:t>Primary will zone the playground and go back to lunch time specific seating areas.</a:t>
          </a:r>
        </a:p>
      </dgm:t>
    </dgm:pt>
    <dgm:pt modelId="{7C73329A-1553-4EF2-A534-3AA0256E5F51}" type="parTrans" cxnId="{47B1350A-D94C-4539-8806-D07B387ABE60}">
      <dgm:prSet/>
      <dgm:spPr/>
      <dgm:t>
        <a:bodyPr/>
        <a:lstStyle/>
        <a:p>
          <a:endParaRPr lang="en-GB"/>
        </a:p>
      </dgm:t>
    </dgm:pt>
    <dgm:pt modelId="{E463D029-76EE-4AAB-B145-1B8E7E0451C8}" type="sibTrans" cxnId="{47B1350A-D94C-4539-8806-D07B387ABE60}">
      <dgm:prSet/>
      <dgm:spPr/>
      <dgm:t>
        <a:bodyPr/>
        <a:lstStyle/>
        <a:p>
          <a:endParaRPr lang="en-GB"/>
        </a:p>
      </dgm:t>
    </dgm:pt>
    <dgm:pt modelId="{8C3452A2-38CF-49DF-B995-51CA456B7356}">
      <dgm:prSet phldrT="[Text]"/>
      <dgm:spPr/>
      <dgm:t>
        <a:bodyPr/>
        <a:lstStyle/>
        <a:p>
          <a:r>
            <a:rPr lang="en-GB"/>
            <a:t>Low Risk</a:t>
          </a:r>
        </a:p>
      </dgm:t>
    </dgm:pt>
    <dgm:pt modelId="{DC7B77E6-B43A-4A82-966C-B2BDCD7ABA22}" type="parTrans" cxnId="{BE52FF9B-5372-4305-85D7-8C48CF25F85B}">
      <dgm:prSet/>
      <dgm:spPr/>
      <dgm:t>
        <a:bodyPr/>
        <a:lstStyle/>
        <a:p>
          <a:endParaRPr lang="en-GB"/>
        </a:p>
      </dgm:t>
    </dgm:pt>
    <dgm:pt modelId="{A521781E-E731-4AC2-ADD2-66446E71801A}" type="sibTrans" cxnId="{BE52FF9B-5372-4305-85D7-8C48CF25F85B}">
      <dgm:prSet/>
      <dgm:spPr/>
      <dgm:t>
        <a:bodyPr/>
        <a:lstStyle/>
        <a:p>
          <a:endParaRPr lang="en-GB"/>
        </a:p>
      </dgm:t>
    </dgm:pt>
    <dgm:pt modelId="{F5069525-2FB8-4ED2-9019-436C3DCF567B}">
      <dgm:prSet phldrT="[Text]"/>
      <dgm:spPr/>
      <dgm:t>
        <a:bodyPr/>
        <a:lstStyle/>
        <a:p>
          <a:r>
            <a:rPr lang="en-GB" b="1">
              <a:solidFill>
                <a:srgbClr val="FF0000"/>
              </a:solidFill>
            </a:rPr>
            <a:t>This is where the school has not been informed from public health of any changes required and the schools risk assessment deems the actions as indicated in this document are sufficient to manage the COVID risk</a:t>
          </a:r>
        </a:p>
      </dgm:t>
    </dgm:pt>
    <dgm:pt modelId="{C131C3FE-E225-4AB7-BF66-D0FBF2075A26}" type="parTrans" cxnId="{C36AE8FA-693C-4947-8191-78CB1140D72D}">
      <dgm:prSet/>
      <dgm:spPr/>
      <dgm:t>
        <a:bodyPr/>
        <a:lstStyle/>
        <a:p>
          <a:endParaRPr lang="en-GB"/>
        </a:p>
      </dgm:t>
    </dgm:pt>
    <dgm:pt modelId="{A32BC9EA-9885-4135-95C0-A6DE79877E72}" type="sibTrans" cxnId="{C36AE8FA-693C-4947-8191-78CB1140D72D}">
      <dgm:prSet/>
      <dgm:spPr/>
      <dgm:t>
        <a:bodyPr/>
        <a:lstStyle/>
        <a:p>
          <a:endParaRPr lang="en-GB"/>
        </a:p>
      </dgm:t>
    </dgm:pt>
    <dgm:pt modelId="{1789A87C-153A-4375-B12F-E9D051DAFEE3}">
      <dgm:prSet phldrT="[Text]"/>
      <dgm:spPr/>
      <dgm:t>
        <a:bodyPr/>
        <a:lstStyle/>
        <a:p>
          <a:r>
            <a:rPr lang="en-GB"/>
            <a:t>The rules in this risk assessment apply to the whole school.  This is the minimum set of rules to mitigate the risk of COVID 19 spreading and is in in accordance with the DFE expectations.</a:t>
          </a:r>
        </a:p>
      </dgm:t>
    </dgm:pt>
    <dgm:pt modelId="{95C782A8-C20C-4E57-97FD-14D2CE47752C}" type="parTrans" cxnId="{9F3488F4-F1A2-494F-B554-6C3D8A0A0B27}">
      <dgm:prSet/>
      <dgm:spPr/>
      <dgm:t>
        <a:bodyPr/>
        <a:lstStyle/>
        <a:p>
          <a:endParaRPr lang="en-GB"/>
        </a:p>
      </dgm:t>
    </dgm:pt>
    <dgm:pt modelId="{2E11787A-DFD8-48A4-9829-E229A42E1F24}" type="sibTrans" cxnId="{9F3488F4-F1A2-494F-B554-6C3D8A0A0B27}">
      <dgm:prSet/>
      <dgm:spPr/>
      <dgm:t>
        <a:bodyPr/>
        <a:lstStyle/>
        <a:p>
          <a:endParaRPr lang="en-GB"/>
        </a:p>
      </dgm:t>
    </dgm:pt>
    <dgm:pt modelId="{AEBA53AC-5BB5-4BC0-8EED-A4A44E212EF0}">
      <dgm:prSet phldrT="[Text]"/>
      <dgm:spPr/>
      <dgm:t>
        <a:bodyPr/>
        <a:lstStyle/>
        <a:p>
          <a:r>
            <a:rPr lang="en-GB"/>
            <a:t>Re-introduction of year group Bubbles at both Phases - which will include a change to the start and end times to enable a staggered start and end and different social spaces for each bubble across the school.</a:t>
          </a:r>
        </a:p>
      </dgm:t>
    </dgm:pt>
    <dgm:pt modelId="{EE9AFE51-C7FC-4CC6-8640-572DA28DAB36}" type="parTrans" cxnId="{6B6E6060-7A04-4153-92F3-BF6F930EA476}">
      <dgm:prSet/>
      <dgm:spPr/>
      <dgm:t>
        <a:bodyPr/>
        <a:lstStyle/>
        <a:p>
          <a:endParaRPr lang="en-GB"/>
        </a:p>
      </dgm:t>
    </dgm:pt>
    <dgm:pt modelId="{6F84CFC6-C931-44A2-9283-83B1E1A31EC4}" type="sibTrans" cxnId="{6B6E6060-7A04-4153-92F3-BF6F930EA476}">
      <dgm:prSet/>
      <dgm:spPr/>
      <dgm:t>
        <a:bodyPr/>
        <a:lstStyle/>
        <a:p>
          <a:endParaRPr lang="en-GB"/>
        </a:p>
      </dgm:t>
    </dgm:pt>
    <dgm:pt modelId="{FC5BFC64-2FD8-4247-B1F7-55F4D8DA271C}">
      <dgm:prSet phldrT="[Text]"/>
      <dgm:spPr/>
      <dgm:t>
        <a:bodyPr/>
        <a:lstStyle/>
        <a:p>
          <a:r>
            <a:rPr lang="en-GB"/>
            <a:t>In the secondary masks will be worn by teachers and pupils within the classroom as well as in the corridors</a:t>
          </a:r>
        </a:p>
      </dgm:t>
    </dgm:pt>
    <dgm:pt modelId="{C920564C-2999-4226-B59C-834C38E16B35}" type="parTrans" cxnId="{DD25A92B-9143-4140-9D43-125E9FE8C1B2}">
      <dgm:prSet/>
      <dgm:spPr/>
      <dgm:t>
        <a:bodyPr/>
        <a:lstStyle/>
        <a:p>
          <a:endParaRPr lang="en-GB"/>
        </a:p>
      </dgm:t>
    </dgm:pt>
    <dgm:pt modelId="{06AA8650-4A70-4CBD-AD99-C069866E933C}" type="sibTrans" cxnId="{DD25A92B-9143-4140-9D43-125E9FE8C1B2}">
      <dgm:prSet/>
      <dgm:spPr/>
      <dgm:t>
        <a:bodyPr/>
        <a:lstStyle/>
        <a:p>
          <a:endParaRPr lang="en-GB"/>
        </a:p>
      </dgm:t>
    </dgm:pt>
    <dgm:pt modelId="{F675BC1D-108E-4FC2-9965-2FC2F5BB7942}">
      <dgm:prSet phldrT="[Text]"/>
      <dgm:spPr/>
      <dgm:t>
        <a:bodyPr/>
        <a:lstStyle/>
        <a:p>
          <a:r>
            <a:rPr lang="en-GB"/>
            <a:t>Secondary masks to be compulsary in the corridors and in social spaces within the building.  This creates an additional precaution within the school.  The school has stocks of masks to be able to initiate this.  Masks will still not be worn within the classroom by pupils.</a:t>
          </a:r>
        </a:p>
      </dgm:t>
    </dgm:pt>
    <dgm:pt modelId="{DD51E982-F8AB-4DBE-BAA3-C898BEB498B9}" type="parTrans" cxnId="{4FF2A771-D09E-4D97-81DD-DF9492B2155C}">
      <dgm:prSet/>
      <dgm:spPr/>
      <dgm:t>
        <a:bodyPr/>
        <a:lstStyle/>
        <a:p>
          <a:endParaRPr lang="en-GB"/>
        </a:p>
      </dgm:t>
    </dgm:pt>
    <dgm:pt modelId="{74695F50-B3C5-4C97-BAF9-F59A84606753}" type="sibTrans" cxnId="{4FF2A771-D09E-4D97-81DD-DF9492B2155C}">
      <dgm:prSet/>
      <dgm:spPr/>
      <dgm:t>
        <a:bodyPr/>
        <a:lstStyle/>
        <a:p>
          <a:endParaRPr lang="en-GB"/>
        </a:p>
      </dgm:t>
    </dgm:pt>
    <dgm:pt modelId="{D3D0BC17-A482-4DF2-A238-1CB33B20DB98}">
      <dgm:prSet phldrT="[Text]"/>
      <dgm:spPr/>
      <dgm:t>
        <a:bodyPr/>
        <a:lstStyle/>
        <a:p>
          <a:r>
            <a:rPr lang="en-GB"/>
            <a:t>Testing to commense in school where supplies are given to facilitate this / use of home test kits given out to all pupils to use.</a:t>
          </a:r>
        </a:p>
      </dgm:t>
    </dgm:pt>
    <dgm:pt modelId="{5D110541-87D8-4945-B87F-3C7944ECC766}" type="parTrans" cxnId="{599F6C11-6753-4FC9-898D-7776D318CBC0}">
      <dgm:prSet/>
      <dgm:spPr/>
      <dgm:t>
        <a:bodyPr/>
        <a:lstStyle/>
        <a:p>
          <a:endParaRPr lang="en-GB"/>
        </a:p>
      </dgm:t>
    </dgm:pt>
    <dgm:pt modelId="{6A343499-8626-4E36-9323-797BC047AC1B}" type="sibTrans" cxnId="{599F6C11-6753-4FC9-898D-7776D318CBC0}">
      <dgm:prSet/>
      <dgm:spPr/>
      <dgm:t>
        <a:bodyPr/>
        <a:lstStyle/>
        <a:p>
          <a:endParaRPr lang="en-GB"/>
        </a:p>
      </dgm:t>
    </dgm:pt>
    <dgm:pt modelId="{E035F148-9CC6-469C-9FF3-8707504EE55E}">
      <dgm:prSet phldrT="[Text]"/>
      <dgm:spPr/>
      <dgm:t>
        <a:bodyPr/>
        <a:lstStyle/>
        <a:p>
          <a:r>
            <a:rPr lang="en-GB"/>
            <a:t>Secondary will zone social spaces at break and lunch time to minimise year groups mixing.</a:t>
          </a:r>
        </a:p>
      </dgm:t>
    </dgm:pt>
    <dgm:pt modelId="{A0853B6D-2F48-4EC9-9EFC-FF0F1ED1982D}" type="parTrans" cxnId="{4DE3F5EB-9192-460B-9BA2-30909FDF5373}">
      <dgm:prSet/>
      <dgm:spPr/>
      <dgm:t>
        <a:bodyPr/>
        <a:lstStyle/>
        <a:p>
          <a:endParaRPr lang="en-GB"/>
        </a:p>
      </dgm:t>
    </dgm:pt>
    <dgm:pt modelId="{D05B7310-21D8-4F1E-A38B-AD9DC41CF97E}" type="sibTrans" cxnId="{4DE3F5EB-9192-460B-9BA2-30909FDF5373}">
      <dgm:prSet/>
      <dgm:spPr/>
      <dgm:t>
        <a:bodyPr/>
        <a:lstStyle/>
        <a:p>
          <a:endParaRPr lang="en-GB"/>
        </a:p>
      </dgm:t>
    </dgm:pt>
    <dgm:pt modelId="{6F977C87-929A-46B6-82AD-C159C7526A39}">
      <dgm:prSet phldrT="[Text]"/>
      <dgm:spPr/>
      <dgm:t>
        <a:bodyPr/>
        <a:lstStyle/>
        <a:p>
          <a:r>
            <a:rPr lang="en-GB"/>
            <a:t>Worships will move back to year group only</a:t>
          </a:r>
        </a:p>
      </dgm:t>
    </dgm:pt>
    <dgm:pt modelId="{BB1949C5-421A-4FDE-B549-B91038286944}" type="parTrans" cxnId="{C488C407-C4B7-470A-B0E8-58CA1B92B205}">
      <dgm:prSet/>
      <dgm:spPr/>
      <dgm:t>
        <a:bodyPr/>
        <a:lstStyle/>
        <a:p>
          <a:endParaRPr lang="en-GB"/>
        </a:p>
      </dgm:t>
    </dgm:pt>
    <dgm:pt modelId="{2B7038DF-13E4-4528-8DFB-FADF2FCB9429}" type="sibTrans" cxnId="{C488C407-C4B7-470A-B0E8-58CA1B92B205}">
      <dgm:prSet/>
      <dgm:spPr/>
      <dgm:t>
        <a:bodyPr/>
        <a:lstStyle/>
        <a:p>
          <a:endParaRPr lang="en-GB"/>
        </a:p>
      </dgm:t>
    </dgm:pt>
    <dgm:pt modelId="{4FC7C2B9-6742-48AE-A3E2-C5C0AD9AB0CA}" type="pres">
      <dgm:prSet presAssocID="{F2416FEF-EBBD-4660-8DE4-55B7F0043642}" presName="Name0" presStyleCnt="0">
        <dgm:presLayoutVars>
          <dgm:chMax val="7"/>
          <dgm:dir/>
          <dgm:animLvl val="lvl"/>
          <dgm:resizeHandles val="exact"/>
        </dgm:presLayoutVars>
      </dgm:prSet>
      <dgm:spPr/>
      <dgm:t>
        <a:bodyPr/>
        <a:lstStyle/>
        <a:p>
          <a:endParaRPr lang="en-GB"/>
        </a:p>
      </dgm:t>
    </dgm:pt>
    <dgm:pt modelId="{028ED421-C2C4-4D62-AB05-E8F375232C84}" type="pres">
      <dgm:prSet presAssocID="{FD221775-31A3-44CF-ACAC-6A2B7CB4807A}" presName="circle1" presStyleLbl="node1" presStyleIdx="0" presStyleCnt="3"/>
      <dgm:spPr/>
    </dgm:pt>
    <dgm:pt modelId="{64F3AC8D-69AC-4EDF-A88C-75C2B507BBB5}" type="pres">
      <dgm:prSet presAssocID="{FD221775-31A3-44CF-ACAC-6A2B7CB4807A}" presName="space" presStyleCnt="0"/>
      <dgm:spPr/>
    </dgm:pt>
    <dgm:pt modelId="{A2E129CF-1C4B-4E63-9FEB-E1B7A1446D5D}" type="pres">
      <dgm:prSet presAssocID="{FD221775-31A3-44CF-ACAC-6A2B7CB4807A}" presName="rect1" presStyleLbl="alignAcc1" presStyleIdx="0" presStyleCnt="3"/>
      <dgm:spPr/>
      <dgm:t>
        <a:bodyPr/>
        <a:lstStyle/>
        <a:p>
          <a:endParaRPr lang="en-GB"/>
        </a:p>
      </dgm:t>
    </dgm:pt>
    <dgm:pt modelId="{F86CB055-43DD-445F-AA37-44F5BE7D91EA}" type="pres">
      <dgm:prSet presAssocID="{4DF79F6E-130A-4DBE-AA78-11A04C893F80}" presName="vertSpace2" presStyleLbl="node1" presStyleIdx="0" presStyleCnt="3"/>
      <dgm:spPr/>
    </dgm:pt>
    <dgm:pt modelId="{3DAD477D-EF77-451F-AAD0-3511BFCE7771}" type="pres">
      <dgm:prSet presAssocID="{4DF79F6E-130A-4DBE-AA78-11A04C893F80}" presName="circle2" presStyleLbl="node1" presStyleIdx="1" presStyleCnt="3"/>
      <dgm:spPr/>
    </dgm:pt>
    <dgm:pt modelId="{AF5047A2-9659-4F17-96B2-9BACC18D6897}" type="pres">
      <dgm:prSet presAssocID="{4DF79F6E-130A-4DBE-AA78-11A04C893F80}" presName="rect2" presStyleLbl="alignAcc1" presStyleIdx="1" presStyleCnt="3"/>
      <dgm:spPr/>
      <dgm:t>
        <a:bodyPr/>
        <a:lstStyle/>
        <a:p>
          <a:endParaRPr lang="en-GB"/>
        </a:p>
      </dgm:t>
    </dgm:pt>
    <dgm:pt modelId="{D9E0B4F6-018F-4116-8C0D-426B4849B6FA}" type="pres">
      <dgm:prSet presAssocID="{8C3452A2-38CF-49DF-B995-51CA456B7356}" presName="vertSpace3" presStyleLbl="node1" presStyleIdx="1" presStyleCnt="3"/>
      <dgm:spPr/>
    </dgm:pt>
    <dgm:pt modelId="{F484E362-D78F-4753-88BB-C80A2EFFB126}" type="pres">
      <dgm:prSet presAssocID="{8C3452A2-38CF-49DF-B995-51CA456B7356}" presName="circle3" presStyleLbl="node1" presStyleIdx="2" presStyleCnt="3"/>
      <dgm:spPr/>
    </dgm:pt>
    <dgm:pt modelId="{8413A292-B021-491A-ADA1-35305EF04FC2}" type="pres">
      <dgm:prSet presAssocID="{8C3452A2-38CF-49DF-B995-51CA456B7356}" presName="rect3" presStyleLbl="alignAcc1" presStyleIdx="2" presStyleCnt="3"/>
      <dgm:spPr/>
      <dgm:t>
        <a:bodyPr/>
        <a:lstStyle/>
        <a:p>
          <a:endParaRPr lang="en-GB"/>
        </a:p>
      </dgm:t>
    </dgm:pt>
    <dgm:pt modelId="{186B8875-126D-411D-AF74-6EC884FC58B8}" type="pres">
      <dgm:prSet presAssocID="{FD221775-31A3-44CF-ACAC-6A2B7CB4807A}" presName="rect1ParTx" presStyleLbl="alignAcc1" presStyleIdx="2" presStyleCnt="3">
        <dgm:presLayoutVars>
          <dgm:chMax val="1"/>
          <dgm:bulletEnabled val="1"/>
        </dgm:presLayoutVars>
      </dgm:prSet>
      <dgm:spPr/>
      <dgm:t>
        <a:bodyPr/>
        <a:lstStyle/>
        <a:p>
          <a:endParaRPr lang="en-GB"/>
        </a:p>
      </dgm:t>
    </dgm:pt>
    <dgm:pt modelId="{2DD577A1-B48C-4D79-B527-C390EE81F674}" type="pres">
      <dgm:prSet presAssocID="{FD221775-31A3-44CF-ACAC-6A2B7CB4807A}" presName="rect1ChTx" presStyleLbl="alignAcc1" presStyleIdx="2" presStyleCnt="3">
        <dgm:presLayoutVars>
          <dgm:bulletEnabled val="1"/>
        </dgm:presLayoutVars>
      </dgm:prSet>
      <dgm:spPr/>
      <dgm:t>
        <a:bodyPr/>
        <a:lstStyle/>
        <a:p>
          <a:endParaRPr lang="en-GB"/>
        </a:p>
      </dgm:t>
    </dgm:pt>
    <dgm:pt modelId="{58685D7D-C035-47EB-B4E9-C04DAB0A38B9}" type="pres">
      <dgm:prSet presAssocID="{4DF79F6E-130A-4DBE-AA78-11A04C893F80}" presName="rect2ParTx" presStyleLbl="alignAcc1" presStyleIdx="2" presStyleCnt="3">
        <dgm:presLayoutVars>
          <dgm:chMax val="1"/>
          <dgm:bulletEnabled val="1"/>
        </dgm:presLayoutVars>
      </dgm:prSet>
      <dgm:spPr/>
      <dgm:t>
        <a:bodyPr/>
        <a:lstStyle/>
        <a:p>
          <a:endParaRPr lang="en-GB"/>
        </a:p>
      </dgm:t>
    </dgm:pt>
    <dgm:pt modelId="{32D7B847-8F74-4D30-A4AB-A11AD8B087DC}" type="pres">
      <dgm:prSet presAssocID="{4DF79F6E-130A-4DBE-AA78-11A04C893F80}" presName="rect2ChTx" presStyleLbl="alignAcc1" presStyleIdx="2" presStyleCnt="3">
        <dgm:presLayoutVars>
          <dgm:bulletEnabled val="1"/>
        </dgm:presLayoutVars>
      </dgm:prSet>
      <dgm:spPr/>
      <dgm:t>
        <a:bodyPr/>
        <a:lstStyle/>
        <a:p>
          <a:endParaRPr lang="en-GB"/>
        </a:p>
      </dgm:t>
    </dgm:pt>
    <dgm:pt modelId="{F3F634FE-857A-4A29-BD5B-1D0015792413}" type="pres">
      <dgm:prSet presAssocID="{8C3452A2-38CF-49DF-B995-51CA456B7356}" presName="rect3ParTx" presStyleLbl="alignAcc1" presStyleIdx="2" presStyleCnt="3">
        <dgm:presLayoutVars>
          <dgm:chMax val="1"/>
          <dgm:bulletEnabled val="1"/>
        </dgm:presLayoutVars>
      </dgm:prSet>
      <dgm:spPr/>
      <dgm:t>
        <a:bodyPr/>
        <a:lstStyle/>
        <a:p>
          <a:endParaRPr lang="en-GB"/>
        </a:p>
      </dgm:t>
    </dgm:pt>
    <dgm:pt modelId="{C94FC412-6665-4842-BEFF-8BD35DEB3F39}" type="pres">
      <dgm:prSet presAssocID="{8C3452A2-38CF-49DF-B995-51CA456B7356}" presName="rect3ChTx" presStyleLbl="alignAcc1" presStyleIdx="2" presStyleCnt="3">
        <dgm:presLayoutVars>
          <dgm:bulletEnabled val="1"/>
        </dgm:presLayoutVars>
      </dgm:prSet>
      <dgm:spPr/>
      <dgm:t>
        <a:bodyPr/>
        <a:lstStyle/>
        <a:p>
          <a:endParaRPr lang="en-GB"/>
        </a:p>
      </dgm:t>
    </dgm:pt>
  </dgm:ptLst>
  <dgm:cxnLst>
    <dgm:cxn modelId="{8EC7D2F3-E6CA-41E4-8BA1-E6DB1145D6F9}" type="presOf" srcId="{2F7F2D47-4D7C-45BE-B380-817212050B5B}" destId="{32D7B847-8F74-4D30-A4AB-A11AD8B087DC}" srcOrd="0" destOrd="0" presId="urn:microsoft.com/office/officeart/2005/8/layout/target3"/>
    <dgm:cxn modelId="{DD25A92B-9143-4140-9D43-125E9FE8C1B2}" srcId="{FD221775-31A3-44CF-ACAC-6A2B7CB4807A}" destId="{FC5BFC64-2FD8-4247-B1F7-55F4D8DA271C}" srcOrd="2" destOrd="0" parTransId="{C920564C-2999-4226-B59C-834C38E16B35}" sibTransId="{06AA8650-4A70-4CBD-AD99-C069866E933C}"/>
    <dgm:cxn modelId="{599F6C11-6753-4FC9-898D-7776D318CBC0}" srcId="{FD221775-31A3-44CF-ACAC-6A2B7CB4807A}" destId="{D3D0BC17-A482-4DF2-A238-1CB33B20DB98}" srcOrd="3" destOrd="0" parTransId="{5D110541-87D8-4945-B87F-3C7944ECC766}" sibTransId="{6A343499-8626-4E36-9323-797BC047AC1B}"/>
    <dgm:cxn modelId="{F33CEC4F-481B-43CE-A561-38A3D77F05D9}" type="presOf" srcId="{F675BC1D-108E-4FC2-9965-2FC2F5BB7942}" destId="{32D7B847-8F74-4D30-A4AB-A11AD8B087DC}" srcOrd="0" destOrd="4" presId="urn:microsoft.com/office/officeart/2005/8/layout/target3"/>
    <dgm:cxn modelId="{4DE3F5EB-9192-460B-9BA2-30909FDF5373}" srcId="{4DF79F6E-130A-4DBE-AA78-11A04C893F80}" destId="{E035F148-9CC6-469C-9FF3-8707504EE55E}" srcOrd="3" destOrd="0" parTransId="{A0853B6D-2F48-4EC9-9EFC-FF0F1ED1982D}" sibTransId="{D05B7310-21D8-4F1E-A38B-AD9DC41CF97E}"/>
    <dgm:cxn modelId="{01AC36F1-EC98-4E7F-942A-8FCBF2496E03}" type="presOf" srcId="{4DF79F6E-130A-4DBE-AA78-11A04C893F80}" destId="{AF5047A2-9659-4F17-96B2-9BACC18D6897}" srcOrd="0" destOrd="0" presId="urn:microsoft.com/office/officeart/2005/8/layout/target3"/>
    <dgm:cxn modelId="{A308BA04-4BE2-417D-8E64-171069EA0B0E}" type="presOf" srcId="{1789A87C-153A-4375-B12F-E9D051DAFEE3}" destId="{C94FC412-6665-4842-BEFF-8BD35DEB3F39}" srcOrd="0" destOrd="1" presId="urn:microsoft.com/office/officeart/2005/8/layout/target3"/>
    <dgm:cxn modelId="{B8D69E9D-4459-48E1-88F4-2BF2420B26FD}" srcId="{FD221775-31A3-44CF-ACAC-6A2B7CB4807A}" destId="{ABBC1960-BDE8-4C46-BD7B-AED07064ADB7}" srcOrd="4" destOrd="0" parTransId="{F2E33C0C-80A5-4CB8-832E-03DBC5552BB6}" sibTransId="{1DDBF03F-7C46-4D35-B9D4-FE1ABE20FBDA}"/>
    <dgm:cxn modelId="{BE52FF9B-5372-4305-85D7-8C48CF25F85B}" srcId="{F2416FEF-EBBD-4660-8DE4-55B7F0043642}" destId="{8C3452A2-38CF-49DF-B995-51CA456B7356}" srcOrd="2" destOrd="0" parTransId="{DC7B77E6-B43A-4A82-966C-B2BDCD7ABA22}" sibTransId="{A521781E-E731-4AC2-ADD2-66446E71801A}"/>
    <dgm:cxn modelId="{75039901-C6B5-480E-BD57-37A829A71889}" type="presOf" srcId="{E035F148-9CC6-469C-9FF3-8707504EE55E}" destId="{32D7B847-8F74-4D30-A4AB-A11AD8B087DC}" srcOrd="0" destOrd="3" presId="urn:microsoft.com/office/officeart/2005/8/layout/target3"/>
    <dgm:cxn modelId="{587831C4-C216-4875-B3A5-05ABD92C2AD2}" type="presOf" srcId="{3D20D565-68A0-41C1-96F7-3256D43F12AC}" destId="{32D7B847-8F74-4D30-A4AB-A11AD8B087DC}" srcOrd="0" destOrd="2" presId="urn:microsoft.com/office/officeart/2005/8/layout/target3"/>
    <dgm:cxn modelId="{B6F8E02A-6D9C-436A-AC10-F011F71AEDCE}" type="presOf" srcId="{6F977C87-929A-46B6-82AD-C159C7526A39}" destId="{32D7B847-8F74-4D30-A4AB-A11AD8B087DC}" srcOrd="0" destOrd="1" presId="urn:microsoft.com/office/officeart/2005/8/layout/target3"/>
    <dgm:cxn modelId="{D81D7893-1B9A-4ACA-85F8-18025B024B4D}" type="presOf" srcId="{556A7DE8-E7CB-4E8B-8EA5-6A5B40C9D641}" destId="{2DD577A1-B48C-4D79-B527-C390EE81F674}" srcOrd="0" destOrd="0" presId="urn:microsoft.com/office/officeart/2005/8/layout/target3"/>
    <dgm:cxn modelId="{8B5FDD8F-30B1-42E4-80D9-6258A268A767}" type="presOf" srcId="{F2416FEF-EBBD-4660-8DE4-55B7F0043642}" destId="{4FC7C2B9-6742-48AE-A3E2-C5C0AD9AB0CA}" srcOrd="0" destOrd="0" presId="urn:microsoft.com/office/officeart/2005/8/layout/target3"/>
    <dgm:cxn modelId="{76DCD110-8C30-457A-957C-91D106D02E74}" srcId="{4DF79F6E-130A-4DBE-AA78-11A04C893F80}" destId="{2F7F2D47-4D7C-45BE-B380-817212050B5B}" srcOrd="0" destOrd="0" parTransId="{A65B1B83-8082-44DD-ADCF-FCDB4D532B35}" sibTransId="{4A30B449-3B8D-4B41-AC56-987877EB9941}"/>
    <dgm:cxn modelId="{4FF2A771-D09E-4D97-81DD-DF9492B2155C}" srcId="{4DF79F6E-130A-4DBE-AA78-11A04C893F80}" destId="{F675BC1D-108E-4FC2-9965-2FC2F5BB7942}" srcOrd="4" destOrd="0" parTransId="{DD51E982-F8AB-4DBE-BAA3-C898BEB498B9}" sibTransId="{74695F50-B3C5-4C97-BAF9-F59A84606753}"/>
    <dgm:cxn modelId="{8D0D135B-A8DA-47F0-8520-0F32C0F917F2}" type="presOf" srcId="{4DF79F6E-130A-4DBE-AA78-11A04C893F80}" destId="{58685D7D-C035-47EB-B4E9-C04DAB0A38B9}" srcOrd="1" destOrd="0" presId="urn:microsoft.com/office/officeart/2005/8/layout/target3"/>
    <dgm:cxn modelId="{6B6E6060-7A04-4153-92F3-BF6F930EA476}" srcId="{FD221775-31A3-44CF-ACAC-6A2B7CB4807A}" destId="{AEBA53AC-5BB5-4BC0-8EED-A4A44E212EF0}" srcOrd="1" destOrd="0" parTransId="{EE9AFE51-C7FC-4CC6-8640-572DA28DAB36}" sibTransId="{6F84CFC6-C931-44A2-9283-83B1E1A31EC4}"/>
    <dgm:cxn modelId="{537AF43C-DA9F-4B99-BFC2-CD4CA0EDF538}" type="presOf" srcId="{8C3452A2-38CF-49DF-B995-51CA456B7356}" destId="{F3F634FE-857A-4A29-BD5B-1D0015792413}" srcOrd="1" destOrd="0" presId="urn:microsoft.com/office/officeart/2005/8/layout/target3"/>
    <dgm:cxn modelId="{C488C407-C4B7-470A-B0E8-58CA1B92B205}" srcId="{4DF79F6E-130A-4DBE-AA78-11A04C893F80}" destId="{6F977C87-929A-46B6-82AD-C159C7526A39}" srcOrd="1" destOrd="0" parTransId="{BB1949C5-421A-4FDE-B549-B91038286944}" sibTransId="{2B7038DF-13E4-4528-8DFB-FADF2FCB9429}"/>
    <dgm:cxn modelId="{3ECA188A-A494-4941-B657-AED8ED946C48}" type="presOf" srcId="{8C3452A2-38CF-49DF-B995-51CA456B7356}" destId="{8413A292-B021-491A-ADA1-35305EF04FC2}" srcOrd="0" destOrd="0" presId="urn:microsoft.com/office/officeart/2005/8/layout/target3"/>
    <dgm:cxn modelId="{4C6FAE25-984C-4E76-8E41-3EC8E002BE14}" type="presOf" srcId="{FD221775-31A3-44CF-ACAC-6A2B7CB4807A}" destId="{186B8875-126D-411D-AF74-6EC884FC58B8}" srcOrd="1" destOrd="0" presId="urn:microsoft.com/office/officeart/2005/8/layout/target3"/>
    <dgm:cxn modelId="{93966507-EEEB-4FA8-94A4-1F98CB8DFA8F}" type="presOf" srcId="{F5069525-2FB8-4ED2-9019-436C3DCF567B}" destId="{C94FC412-6665-4842-BEFF-8BD35DEB3F39}" srcOrd="0" destOrd="0" presId="urn:microsoft.com/office/officeart/2005/8/layout/target3"/>
    <dgm:cxn modelId="{DD2CD9CD-0ED3-42BB-BA2D-F507A83E5724}" type="presOf" srcId="{ABBC1960-BDE8-4C46-BD7B-AED07064ADB7}" destId="{2DD577A1-B48C-4D79-B527-C390EE81F674}" srcOrd="0" destOrd="4" presId="urn:microsoft.com/office/officeart/2005/8/layout/target3"/>
    <dgm:cxn modelId="{47B1350A-D94C-4539-8806-D07B387ABE60}" srcId="{4DF79F6E-130A-4DBE-AA78-11A04C893F80}" destId="{3D20D565-68A0-41C1-96F7-3256D43F12AC}" srcOrd="2" destOrd="0" parTransId="{7C73329A-1553-4EF2-A534-3AA0256E5F51}" sibTransId="{E463D029-76EE-4AAB-B145-1B8E7E0451C8}"/>
    <dgm:cxn modelId="{E3310A99-67E3-4901-A7D0-926779F4C73B}" srcId="{FD221775-31A3-44CF-ACAC-6A2B7CB4807A}" destId="{556A7DE8-E7CB-4E8B-8EA5-6A5B40C9D641}" srcOrd="0" destOrd="0" parTransId="{86B532FB-80BE-421D-A138-9CCA686F8708}" sibTransId="{259E3F60-1B41-468D-8516-DDA21953A6A4}"/>
    <dgm:cxn modelId="{C36AE8FA-693C-4947-8191-78CB1140D72D}" srcId="{8C3452A2-38CF-49DF-B995-51CA456B7356}" destId="{F5069525-2FB8-4ED2-9019-436C3DCF567B}" srcOrd="0" destOrd="0" parTransId="{C131C3FE-E225-4AB7-BF66-D0FBF2075A26}" sibTransId="{A32BC9EA-9885-4135-95C0-A6DE79877E72}"/>
    <dgm:cxn modelId="{2FC85F66-FBBC-41DE-B49E-FAC08DB448C6}" srcId="{F2416FEF-EBBD-4660-8DE4-55B7F0043642}" destId="{4DF79F6E-130A-4DBE-AA78-11A04C893F80}" srcOrd="1" destOrd="0" parTransId="{E82D5E5C-AE01-447B-84B4-406DA9EA4945}" sibTransId="{5D9AEA2D-7CA1-4E63-A70B-5AA88915E79F}"/>
    <dgm:cxn modelId="{55B23273-F65F-4C1C-BBF1-7DA20EC118FF}" type="presOf" srcId="{D3D0BC17-A482-4DF2-A238-1CB33B20DB98}" destId="{2DD577A1-B48C-4D79-B527-C390EE81F674}" srcOrd="0" destOrd="3" presId="urn:microsoft.com/office/officeart/2005/8/layout/target3"/>
    <dgm:cxn modelId="{9F3488F4-F1A2-494F-B554-6C3D8A0A0B27}" srcId="{8C3452A2-38CF-49DF-B995-51CA456B7356}" destId="{1789A87C-153A-4375-B12F-E9D051DAFEE3}" srcOrd="1" destOrd="0" parTransId="{95C782A8-C20C-4E57-97FD-14D2CE47752C}" sibTransId="{2E11787A-DFD8-48A4-9829-E229A42E1F24}"/>
    <dgm:cxn modelId="{8B6B16F8-5696-4B4F-BCB8-780DE42FC3C1}" type="presOf" srcId="{FC5BFC64-2FD8-4247-B1F7-55F4D8DA271C}" destId="{2DD577A1-B48C-4D79-B527-C390EE81F674}" srcOrd="0" destOrd="2" presId="urn:microsoft.com/office/officeart/2005/8/layout/target3"/>
    <dgm:cxn modelId="{0586DFDC-86E8-4A51-A377-2E983D5938F8}" srcId="{F2416FEF-EBBD-4660-8DE4-55B7F0043642}" destId="{FD221775-31A3-44CF-ACAC-6A2B7CB4807A}" srcOrd="0" destOrd="0" parTransId="{9EA249EC-9FCE-478C-87F4-E7C3460A9B07}" sibTransId="{016935E6-D978-4205-B9A7-FF50FB421460}"/>
    <dgm:cxn modelId="{848E36EF-50A8-43F6-AD0E-72BB9255B176}" type="presOf" srcId="{AEBA53AC-5BB5-4BC0-8EED-A4A44E212EF0}" destId="{2DD577A1-B48C-4D79-B527-C390EE81F674}" srcOrd="0" destOrd="1" presId="urn:microsoft.com/office/officeart/2005/8/layout/target3"/>
    <dgm:cxn modelId="{09336868-9B1C-4AA1-A3EF-35DE41F4BA76}" type="presOf" srcId="{FD221775-31A3-44CF-ACAC-6A2B7CB4807A}" destId="{A2E129CF-1C4B-4E63-9FEB-E1B7A1446D5D}" srcOrd="0" destOrd="0" presId="urn:microsoft.com/office/officeart/2005/8/layout/target3"/>
    <dgm:cxn modelId="{14F740F9-53C1-4C35-8D09-48AAB67784BE}" type="presParOf" srcId="{4FC7C2B9-6742-48AE-A3E2-C5C0AD9AB0CA}" destId="{028ED421-C2C4-4D62-AB05-E8F375232C84}" srcOrd="0" destOrd="0" presId="urn:microsoft.com/office/officeart/2005/8/layout/target3"/>
    <dgm:cxn modelId="{08955F2D-246A-4B73-91C0-569736A11B10}" type="presParOf" srcId="{4FC7C2B9-6742-48AE-A3E2-C5C0AD9AB0CA}" destId="{64F3AC8D-69AC-4EDF-A88C-75C2B507BBB5}" srcOrd="1" destOrd="0" presId="urn:microsoft.com/office/officeart/2005/8/layout/target3"/>
    <dgm:cxn modelId="{AEFE1A05-6BAE-4FF2-B720-387D059F3B8F}" type="presParOf" srcId="{4FC7C2B9-6742-48AE-A3E2-C5C0AD9AB0CA}" destId="{A2E129CF-1C4B-4E63-9FEB-E1B7A1446D5D}" srcOrd="2" destOrd="0" presId="urn:microsoft.com/office/officeart/2005/8/layout/target3"/>
    <dgm:cxn modelId="{FB94829E-C0B8-4192-A084-07522C29C809}" type="presParOf" srcId="{4FC7C2B9-6742-48AE-A3E2-C5C0AD9AB0CA}" destId="{F86CB055-43DD-445F-AA37-44F5BE7D91EA}" srcOrd="3" destOrd="0" presId="urn:microsoft.com/office/officeart/2005/8/layout/target3"/>
    <dgm:cxn modelId="{F71083AF-95B1-46C7-8DA2-FF933ED26205}" type="presParOf" srcId="{4FC7C2B9-6742-48AE-A3E2-C5C0AD9AB0CA}" destId="{3DAD477D-EF77-451F-AAD0-3511BFCE7771}" srcOrd="4" destOrd="0" presId="urn:microsoft.com/office/officeart/2005/8/layout/target3"/>
    <dgm:cxn modelId="{872BBD9F-15C8-40C3-AB9C-3C38AB01CACB}" type="presParOf" srcId="{4FC7C2B9-6742-48AE-A3E2-C5C0AD9AB0CA}" destId="{AF5047A2-9659-4F17-96B2-9BACC18D6897}" srcOrd="5" destOrd="0" presId="urn:microsoft.com/office/officeart/2005/8/layout/target3"/>
    <dgm:cxn modelId="{6A089A1C-EA53-47C3-81A7-650857F2E850}" type="presParOf" srcId="{4FC7C2B9-6742-48AE-A3E2-C5C0AD9AB0CA}" destId="{D9E0B4F6-018F-4116-8C0D-426B4849B6FA}" srcOrd="6" destOrd="0" presId="urn:microsoft.com/office/officeart/2005/8/layout/target3"/>
    <dgm:cxn modelId="{2303D63C-EB2B-487A-BDC0-B2D4EE5AED53}" type="presParOf" srcId="{4FC7C2B9-6742-48AE-A3E2-C5C0AD9AB0CA}" destId="{F484E362-D78F-4753-88BB-C80A2EFFB126}" srcOrd="7" destOrd="0" presId="urn:microsoft.com/office/officeart/2005/8/layout/target3"/>
    <dgm:cxn modelId="{2FEFED64-68B1-482E-9888-DE86ADC0F2A1}" type="presParOf" srcId="{4FC7C2B9-6742-48AE-A3E2-C5C0AD9AB0CA}" destId="{8413A292-B021-491A-ADA1-35305EF04FC2}" srcOrd="8" destOrd="0" presId="urn:microsoft.com/office/officeart/2005/8/layout/target3"/>
    <dgm:cxn modelId="{C5E0DF9E-9E1B-4FD3-B87E-92D7C5DD204B}" type="presParOf" srcId="{4FC7C2B9-6742-48AE-A3E2-C5C0AD9AB0CA}" destId="{186B8875-126D-411D-AF74-6EC884FC58B8}" srcOrd="9" destOrd="0" presId="urn:microsoft.com/office/officeart/2005/8/layout/target3"/>
    <dgm:cxn modelId="{E5721B13-444A-407B-89C9-C6EF080AE45C}" type="presParOf" srcId="{4FC7C2B9-6742-48AE-A3E2-C5C0AD9AB0CA}" destId="{2DD577A1-B48C-4D79-B527-C390EE81F674}" srcOrd="10" destOrd="0" presId="urn:microsoft.com/office/officeart/2005/8/layout/target3"/>
    <dgm:cxn modelId="{1CAAD8B1-FCB8-46F9-A8C2-3A6F3A2E834C}" type="presParOf" srcId="{4FC7C2B9-6742-48AE-A3E2-C5C0AD9AB0CA}" destId="{58685D7D-C035-47EB-B4E9-C04DAB0A38B9}" srcOrd="11" destOrd="0" presId="urn:microsoft.com/office/officeart/2005/8/layout/target3"/>
    <dgm:cxn modelId="{7CBBB25D-7B4E-450A-9E9C-EE50075E9CEF}" type="presParOf" srcId="{4FC7C2B9-6742-48AE-A3E2-C5C0AD9AB0CA}" destId="{32D7B847-8F74-4D30-A4AB-A11AD8B087DC}" srcOrd="12" destOrd="0" presId="urn:microsoft.com/office/officeart/2005/8/layout/target3"/>
    <dgm:cxn modelId="{8AA07A5F-FB81-4E73-B282-F6EA086EBB26}" type="presParOf" srcId="{4FC7C2B9-6742-48AE-A3E2-C5C0AD9AB0CA}" destId="{F3F634FE-857A-4A29-BD5B-1D0015792413}" srcOrd="13" destOrd="0" presId="urn:microsoft.com/office/officeart/2005/8/layout/target3"/>
    <dgm:cxn modelId="{C30B1114-AECB-4795-A886-1C719F37EA16}" type="presParOf" srcId="{4FC7C2B9-6742-48AE-A3E2-C5C0AD9AB0CA}" destId="{C94FC412-6665-4842-BEFF-8BD35DEB3F39}" srcOrd="14" destOrd="0" presId="urn:microsoft.com/office/officeart/2005/8/layout/targe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8ED421-C2C4-4D62-AB05-E8F375232C84}">
      <dsp:nvSpPr>
        <dsp:cNvPr id="0" name=""/>
        <dsp:cNvSpPr/>
      </dsp:nvSpPr>
      <dsp:spPr>
        <a:xfrm>
          <a:off x="0" y="0"/>
          <a:ext cx="4906979" cy="4906979"/>
        </a:xfrm>
        <a:prstGeom prst="pie">
          <a:avLst>
            <a:gd name="adj1" fmla="val 5400000"/>
            <a:gd name="adj2" fmla="val 1620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E129CF-1C4B-4E63-9FEB-E1B7A1446D5D}">
      <dsp:nvSpPr>
        <dsp:cNvPr id="0" name=""/>
        <dsp:cNvSpPr/>
      </dsp:nvSpPr>
      <dsp:spPr>
        <a:xfrm>
          <a:off x="2453489" y="0"/>
          <a:ext cx="7109610" cy="4906979"/>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9070" tIns="179070" rIns="179070" bIns="179070" numCol="1" spcCol="1270" anchor="ctr" anchorCtr="0">
          <a:noAutofit/>
        </a:bodyPr>
        <a:lstStyle/>
        <a:p>
          <a:pPr lvl="0" algn="ctr" defTabSz="2089150">
            <a:lnSpc>
              <a:spcPct val="90000"/>
            </a:lnSpc>
            <a:spcBef>
              <a:spcPct val="0"/>
            </a:spcBef>
            <a:spcAft>
              <a:spcPct val="35000"/>
            </a:spcAft>
          </a:pPr>
          <a:r>
            <a:rPr lang="en-GB" sz="4700" kern="1200"/>
            <a:t>High Risk</a:t>
          </a:r>
        </a:p>
      </dsp:txBody>
      <dsp:txXfrm>
        <a:off x="2453489" y="0"/>
        <a:ext cx="3554805" cy="1472096"/>
      </dsp:txXfrm>
    </dsp:sp>
    <dsp:sp modelId="{3DAD477D-EF77-451F-AAD0-3511BFCE7771}">
      <dsp:nvSpPr>
        <dsp:cNvPr id="0" name=""/>
        <dsp:cNvSpPr/>
      </dsp:nvSpPr>
      <dsp:spPr>
        <a:xfrm>
          <a:off x="858722" y="1472096"/>
          <a:ext cx="3189533" cy="3189533"/>
        </a:xfrm>
        <a:prstGeom prst="pie">
          <a:avLst>
            <a:gd name="adj1" fmla="val 5400000"/>
            <a:gd name="adj2" fmla="val 16200000"/>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5047A2-9659-4F17-96B2-9BACC18D6897}">
      <dsp:nvSpPr>
        <dsp:cNvPr id="0" name=""/>
        <dsp:cNvSpPr/>
      </dsp:nvSpPr>
      <dsp:spPr>
        <a:xfrm>
          <a:off x="2453489" y="1472096"/>
          <a:ext cx="7109610" cy="3189533"/>
        </a:xfrm>
        <a:prstGeom prst="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9070" tIns="179070" rIns="179070" bIns="179070" numCol="1" spcCol="1270" anchor="ctr" anchorCtr="0">
          <a:noAutofit/>
        </a:bodyPr>
        <a:lstStyle/>
        <a:p>
          <a:pPr lvl="0" algn="ctr" defTabSz="2089150">
            <a:lnSpc>
              <a:spcPct val="90000"/>
            </a:lnSpc>
            <a:spcBef>
              <a:spcPct val="0"/>
            </a:spcBef>
            <a:spcAft>
              <a:spcPct val="35000"/>
            </a:spcAft>
          </a:pPr>
          <a:r>
            <a:rPr lang="en-GB" sz="4700" kern="1200"/>
            <a:t>Medium Risk</a:t>
          </a:r>
        </a:p>
      </dsp:txBody>
      <dsp:txXfrm>
        <a:off x="2453489" y="1472096"/>
        <a:ext cx="3554805" cy="1472091"/>
      </dsp:txXfrm>
    </dsp:sp>
    <dsp:sp modelId="{F484E362-D78F-4753-88BB-C80A2EFFB126}">
      <dsp:nvSpPr>
        <dsp:cNvPr id="0" name=""/>
        <dsp:cNvSpPr/>
      </dsp:nvSpPr>
      <dsp:spPr>
        <a:xfrm>
          <a:off x="1717443" y="2944188"/>
          <a:ext cx="1472092" cy="1472092"/>
        </a:xfrm>
        <a:prstGeom prst="pie">
          <a:avLst>
            <a:gd name="adj1" fmla="val 5400000"/>
            <a:gd name="adj2" fmla="val 1620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13A292-B021-491A-ADA1-35305EF04FC2}">
      <dsp:nvSpPr>
        <dsp:cNvPr id="0" name=""/>
        <dsp:cNvSpPr/>
      </dsp:nvSpPr>
      <dsp:spPr>
        <a:xfrm>
          <a:off x="2453489" y="2944188"/>
          <a:ext cx="7109610" cy="1472092"/>
        </a:xfrm>
        <a:prstGeom prst="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9070" tIns="179070" rIns="179070" bIns="179070" numCol="1" spcCol="1270" anchor="ctr" anchorCtr="0">
          <a:noAutofit/>
        </a:bodyPr>
        <a:lstStyle/>
        <a:p>
          <a:pPr lvl="0" algn="ctr" defTabSz="2089150">
            <a:lnSpc>
              <a:spcPct val="90000"/>
            </a:lnSpc>
            <a:spcBef>
              <a:spcPct val="0"/>
            </a:spcBef>
            <a:spcAft>
              <a:spcPct val="35000"/>
            </a:spcAft>
          </a:pPr>
          <a:r>
            <a:rPr lang="en-GB" sz="4700" kern="1200"/>
            <a:t>Low Risk</a:t>
          </a:r>
        </a:p>
      </dsp:txBody>
      <dsp:txXfrm>
        <a:off x="2453489" y="2944188"/>
        <a:ext cx="3554805" cy="1472092"/>
      </dsp:txXfrm>
    </dsp:sp>
    <dsp:sp modelId="{2DD577A1-B48C-4D79-B527-C390EE81F674}">
      <dsp:nvSpPr>
        <dsp:cNvPr id="0" name=""/>
        <dsp:cNvSpPr/>
      </dsp:nvSpPr>
      <dsp:spPr>
        <a:xfrm>
          <a:off x="6008294" y="0"/>
          <a:ext cx="3554805" cy="1472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GB" sz="800" b="1" kern="1200">
              <a:solidFill>
                <a:srgbClr val="FF0000"/>
              </a:solidFill>
            </a:rPr>
            <a:t>The risk is high and public health has informed the school for a fixed period of time to re-introduce full measures across the school:</a:t>
          </a:r>
        </a:p>
        <a:p>
          <a:pPr marL="57150" lvl="1" indent="-57150" algn="l" defTabSz="355600">
            <a:lnSpc>
              <a:spcPct val="90000"/>
            </a:lnSpc>
            <a:spcBef>
              <a:spcPct val="0"/>
            </a:spcBef>
            <a:spcAft>
              <a:spcPct val="15000"/>
            </a:spcAft>
            <a:buChar char="••"/>
          </a:pPr>
          <a:r>
            <a:rPr lang="en-GB" sz="800" kern="1200"/>
            <a:t>Re-introduction of year group Bubbles at both Phases - which will include a change to the start and end times to enable a staggered start and end and different social spaces for each bubble across the school.</a:t>
          </a:r>
        </a:p>
        <a:p>
          <a:pPr marL="57150" lvl="1" indent="-57150" algn="l" defTabSz="355600">
            <a:lnSpc>
              <a:spcPct val="90000"/>
            </a:lnSpc>
            <a:spcBef>
              <a:spcPct val="0"/>
            </a:spcBef>
            <a:spcAft>
              <a:spcPct val="15000"/>
            </a:spcAft>
            <a:buChar char="••"/>
          </a:pPr>
          <a:r>
            <a:rPr lang="en-GB" sz="800" kern="1200"/>
            <a:t>In the secondary masks will be worn by teachers and pupils within the classroom as well as in the corridors</a:t>
          </a:r>
        </a:p>
        <a:p>
          <a:pPr marL="57150" lvl="1" indent="-57150" algn="l" defTabSz="355600">
            <a:lnSpc>
              <a:spcPct val="90000"/>
            </a:lnSpc>
            <a:spcBef>
              <a:spcPct val="0"/>
            </a:spcBef>
            <a:spcAft>
              <a:spcPct val="15000"/>
            </a:spcAft>
            <a:buChar char="••"/>
          </a:pPr>
          <a:r>
            <a:rPr lang="en-GB" sz="800" kern="1200"/>
            <a:t>Testing to commense in school where supplies are given to facilitate this / use of home test kits given out to all pupils to use.</a:t>
          </a:r>
        </a:p>
        <a:p>
          <a:pPr marL="57150" lvl="1" indent="-57150" algn="l" defTabSz="355600">
            <a:lnSpc>
              <a:spcPct val="90000"/>
            </a:lnSpc>
            <a:spcBef>
              <a:spcPct val="0"/>
            </a:spcBef>
            <a:spcAft>
              <a:spcPct val="15000"/>
            </a:spcAft>
            <a:buChar char="••"/>
          </a:pPr>
          <a:r>
            <a:rPr lang="en-GB" sz="800" kern="1200"/>
            <a:t>All other measures below will also be in place</a:t>
          </a:r>
        </a:p>
      </dsp:txBody>
      <dsp:txXfrm>
        <a:off x="6008294" y="0"/>
        <a:ext cx="3554805" cy="1472096"/>
      </dsp:txXfrm>
    </dsp:sp>
    <dsp:sp modelId="{32D7B847-8F74-4D30-A4AB-A11AD8B087DC}">
      <dsp:nvSpPr>
        <dsp:cNvPr id="0" name=""/>
        <dsp:cNvSpPr/>
      </dsp:nvSpPr>
      <dsp:spPr>
        <a:xfrm>
          <a:off x="6008294" y="1472096"/>
          <a:ext cx="3554805" cy="147209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GB" sz="800" b="1" kern="1200">
              <a:solidFill>
                <a:srgbClr val="FF0000"/>
              </a:solidFill>
            </a:rPr>
            <a:t>The risk has risen and public health have informed the school to increase the support measures within the school to include:</a:t>
          </a:r>
        </a:p>
        <a:p>
          <a:pPr marL="57150" lvl="1" indent="-57150" algn="l" defTabSz="355600">
            <a:lnSpc>
              <a:spcPct val="90000"/>
            </a:lnSpc>
            <a:spcBef>
              <a:spcPct val="0"/>
            </a:spcBef>
            <a:spcAft>
              <a:spcPct val="15000"/>
            </a:spcAft>
            <a:buChar char="••"/>
          </a:pPr>
          <a:r>
            <a:rPr lang="en-GB" sz="800" kern="1200"/>
            <a:t>Worships will move back to year group only</a:t>
          </a:r>
        </a:p>
        <a:p>
          <a:pPr marL="57150" lvl="1" indent="-57150" algn="l" defTabSz="355600">
            <a:lnSpc>
              <a:spcPct val="90000"/>
            </a:lnSpc>
            <a:spcBef>
              <a:spcPct val="0"/>
            </a:spcBef>
            <a:spcAft>
              <a:spcPct val="15000"/>
            </a:spcAft>
            <a:buChar char="••"/>
          </a:pPr>
          <a:r>
            <a:rPr lang="en-GB" sz="800" kern="1200"/>
            <a:t>Primary will zone the playground and go back to lunch time specific seating areas.</a:t>
          </a:r>
        </a:p>
        <a:p>
          <a:pPr marL="57150" lvl="1" indent="-57150" algn="l" defTabSz="355600">
            <a:lnSpc>
              <a:spcPct val="90000"/>
            </a:lnSpc>
            <a:spcBef>
              <a:spcPct val="0"/>
            </a:spcBef>
            <a:spcAft>
              <a:spcPct val="15000"/>
            </a:spcAft>
            <a:buChar char="••"/>
          </a:pPr>
          <a:r>
            <a:rPr lang="en-GB" sz="800" kern="1200"/>
            <a:t>Secondary will zone social spaces at break and lunch time to minimise year groups mixing.</a:t>
          </a:r>
        </a:p>
        <a:p>
          <a:pPr marL="57150" lvl="1" indent="-57150" algn="l" defTabSz="355600">
            <a:lnSpc>
              <a:spcPct val="90000"/>
            </a:lnSpc>
            <a:spcBef>
              <a:spcPct val="0"/>
            </a:spcBef>
            <a:spcAft>
              <a:spcPct val="15000"/>
            </a:spcAft>
            <a:buChar char="••"/>
          </a:pPr>
          <a:r>
            <a:rPr lang="en-GB" sz="800" kern="1200"/>
            <a:t>Secondary masks to be compulsary in the corridors and in social spaces within the building.  This creates an additional precaution within the school.  The school has stocks of masks to be able to initiate this.  Masks will still not be worn within the classroom by pupils.</a:t>
          </a:r>
        </a:p>
      </dsp:txBody>
      <dsp:txXfrm>
        <a:off x="6008294" y="1472096"/>
        <a:ext cx="3554805" cy="1472091"/>
      </dsp:txXfrm>
    </dsp:sp>
    <dsp:sp modelId="{C94FC412-6665-4842-BEFF-8BD35DEB3F39}">
      <dsp:nvSpPr>
        <dsp:cNvPr id="0" name=""/>
        <dsp:cNvSpPr/>
      </dsp:nvSpPr>
      <dsp:spPr>
        <a:xfrm>
          <a:off x="6008294" y="2944188"/>
          <a:ext cx="3554805" cy="147209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GB" sz="800" b="1" kern="1200">
              <a:solidFill>
                <a:srgbClr val="FF0000"/>
              </a:solidFill>
            </a:rPr>
            <a:t>This is where the school has not been informed from public health of any changes required and the schools risk assessment deems the actions as indicated in this document are sufficient to manage the COVID risk</a:t>
          </a:r>
        </a:p>
        <a:p>
          <a:pPr marL="57150" lvl="1" indent="-57150" algn="l" defTabSz="355600">
            <a:lnSpc>
              <a:spcPct val="90000"/>
            </a:lnSpc>
            <a:spcBef>
              <a:spcPct val="0"/>
            </a:spcBef>
            <a:spcAft>
              <a:spcPct val="15000"/>
            </a:spcAft>
            <a:buChar char="••"/>
          </a:pPr>
          <a:r>
            <a:rPr lang="en-GB" sz="800" kern="1200"/>
            <a:t>The rules in this risk assessment apply to the whole school.  This is the minimum set of rules to mitigate the risk of COVID 19 spreading and is in in accordance with the DFE expectations.</a:t>
          </a:r>
        </a:p>
      </dsp:txBody>
      <dsp:txXfrm>
        <a:off x="6008294" y="2944188"/>
        <a:ext cx="3554805" cy="1472092"/>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7</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Trinity Secondary School</Company>
  <LinksUpToDate>false</LinksUpToDate>
  <CharactersWithSpaces>11174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Lucas</dc:creator>
  <cp:keywords/>
  <dc:description/>
  <cp:lastModifiedBy>David Lucas</cp:lastModifiedBy>
  <cp:revision>28</cp:revision>
  <cp:lastPrinted>2021-08-16T08:35:00Z</cp:lastPrinted>
  <dcterms:created xsi:type="dcterms:W3CDTF">2021-07-07T05:29:00Z</dcterms:created>
  <dcterms:modified xsi:type="dcterms:W3CDTF">2021-08-16T08:56:00Z</dcterms:modified>
</cp:coreProperties>
</file>